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spacing w:after="80" w:lineRule="auto"/>
        <w:rPr/>
      </w:pPr>
      <w:r w:rsidDel="00000000" w:rsidR="00000000" w:rsidRPr="00000000">
        <w:rPr>
          <w:b w:val="1"/>
          <w:bCs w:val="1"/>
          <w:color w:val="2e75b6"/>
          <w:rtl w:val="0"/>
        </w:rPr>
        <w:t xml:space="preserve">RESEARCH BRIEF</w:t>
      </w:r>
      <w:r w:rsidDel="00000000" w:rsidR="00000000" w:rsidRPr="00000000">
        <w:rPr>
          <w:rtl w:val="0"/>
        </w:rPr>
      </w:r>
    </w:p>
    <w:p w:rsidR="00000000" w:rsidDel="00000000" w:rsidP="00000000" w:rsidRDefault="00000000" w:rsidRPr="00000000" w14:paraId="00000003">
      <w:pPr>
        <w:spacing w:after="240" w:lineRule="auto"/>
        <w:rPr/>
      </w:pPr>
      <w:r w:rsidDel="00000000" w:rsidR="00000000" w:rsidRPr="00000000">
        <w:rPr>
          <w:b w:val="1"/>
          <w:bCs w:val="1"/>
          <w:color w:val="1f3a5f"/>
          <w:sz w:val="64"/>
          <w:szCs w:val="64"/>
          <w:rtl w:val="0"/>
        </w:rPr>
        <w:t xml:space="preserve">Applied AI in the Enterprise</w:t>
      </w:r>
      <w:r w:rsidDel="00000000" w:rsidR="00000000" w:rsidRPr="00000000">
        <w:rPr>
          <w:rtl w:val="0"/>
        </w:rPr>
      </w:r>
    </w:p>
    <w:p w:rsidR="00000000" w:rsidDel="00000000" w:rsidP="00000000" w:rsidRDefault="00000000" w:rsidRPr="00000000" w14:paraId="00000004">
      <w:pPr>
        <w:spacing w:after="200" w:lineRule="auto"/>
        <w:rPr/>
      </w:pPr>
      <w:r w:rsidDel="00000000" w:rsidR="00000000" w:rsidRPr="00000000">
        <w:rPr>
          <w:color w:val="4a5568"/>
          <w:sz w:val="36"/>
          <w:szCs w:val="36"/>
          <w:rtl w:val="0"/>
        </w:rPr>
        <w:t xml:space="preserve">Process, Practice, and the Distinction from MLOps</w:t>
      </w:r>
      <w:r w:rsidDel="00000000" w:rsidR="00000000" w:rsidRPr="00000000">
        <w:rPr>
          <w:rtl w:val="0"/>
        </w:rPr>
      </w:r>
    </w:p>
    <w:p w:rsidR="00000000" w:rsidDel="00000000" w:rsidP="00000000" w:rsidRDefault="00000000" w:rsidRPr="00000000" w14:paraId="00000005">
      <w:pPr>
        <w:pBdr>
          <w:bottom w:color="1f3a5f" w:space="8" w:sz="18" w:val="single"/>
        </w:pBdr>
        <w:spacing w:before="160" w:lineRule="auto"/>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spacing w:after="100" w:lineRule="auto"/>
        <w:rPr/>
      </w:pPr>
      <w:r w:rsidDel="00000000" w:rsidR="00000000" w:rsidRPr="00000000">
        <w:rPr>
          <w:color w:val="4a5568"/>
          <w:sz w:val="24"/>
          <w:szCs w:val="24"/>
          <w:rtl w:val="0"/>
        </w:rPr>
        <w:t xml:space="preserve">An evidence-based synthesis of academic literature, peer-reviewed research, and reputable industry reporting on what is working, what is failing, and what differentiates Applied AI from the operational discipline of MLOps.</w:t>
      </w:r>
      <w:r w:rsidDel="00000000" w:rsidR="00000000" w:rsidRPr="00000000">
        <w:rPr>
          <w:rtl w:val="0"/>
        </w:rPr>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spacing w:after="40" w:lineRule="auto"/>
        <w:rPr/>
      </w:pPr>
      <w:r w:rsidDel="00000000" w:rsidR="00000000" w:rsidRPr="00000000">
        <w:rPr>
          <w:b w:val="1"/>
          <w:bCs w:val="1"/>
          <w:color w:val="718096"/>
          <w:sz w:val="18"/>
          <w:szCs w:val="18"/>
          <w:rtl w:val="0"/>
        </w:rPr>
        <w:t xml:space="preserve">Prepared for</w:t>
      </w:r>
      <w:r w:rsidDel="00000000" w:rsidR="00000000" w:rsidRPr="00000000">
        <w:rPr>
          <w:rtl w:val="0"/>
        </w:rPr>
      </w:r>
    </w:p>
    <w:p w:rsidR="00000000" w:rsidDel="00000000" w:rsidP="00000000" w:rsidRDefault="00000000" w:rsidRPr="00000000" w14:paraId="0000000A">
      <w:pPr>
        <w:spacing w:after="160" w:lineRule="auto"/>
        <w:rPr/>
      </w:pPr>
      <w:r w:rsidDel="00000000" w:rsidR="00000000" w:rsidRPr="00000000">
        <w:rPr>
          <w:color w:val="2d3748"/>
          <w:rtl w:val="0"/>
        </w:rPr>
        <w:t xml:space="preserve">John Tocado · Principal Analyst, Advanced Analytics &amp; AI Strategy</w:t>
      </w:r>
      <w:r w:rsidDel="00000000" w:rsidR="00000000" w:rsidRPr="00000000">
        <w:rPr>
          <w:rtl w:val="0"/>
        </w:rPr>
      </w:r>
    </w:p>
    <w:p w:rsidR="00000000" w:rsidDel="00000000" w:rsidP="00000000" w:rsidRDefault="00000000" w:rsidRPr="00000000" w14:paraId="0000000B">
      <w:pPr>
        <w:spacing w:after="40" w:lineRule="auto"/>
        <w:rPr/>
      </w:pPr>
      <w:r w:rsidDel="00000000" w:rsidR="00000000" w:rsidRPr="00000000">
        <w:rPr>
          <w:b w:val="1"/>
          <w:bCs w:val="1"/>
          <w:color w:val="718096"/>
          <w:sz w:val="18"/>
          <w:szCs w:val="18"/>
          <w:rtl w:val="0"/>
        </w:rPr>
        <w:t xml:space="preserve">Date</w:t>
      </w:r>
      <w:r w:rsidDel="00000000" w:rsidR="00000000" w:rsidRPr="00000000">
        <w:rPr>
          <w:rtl w:val="0"/>
        </w:rPr>
      </w:r>
    </w:p>
    <w:p w:rsidR="00000000" w:rsidDel="00000000" w:rsidP="00000000" w:rsidRDefault="00000000" w:rsidRPr="00000000" w14:paraId="0000000C">
      <w:pPr>
        <w:spacing w:after="160" w:lineRule="auto"/>
        <w:rPr/>
      </w:pPr>
      <w:r w:rsidDel="00000000" w:rsidR="00000000" w:rsidRPr="00000000">
        <w:rPr>
          <w:color w:val="2d3748"/>
          <w:rtl w:val="0"/>
        </w:rPr>
        <w:t xml:space="preserve">May 11, 2026</w:t>
      </w:r>
      <w:r w:rsidDel="00000000" w:rsidR="00000000" w:rsidRPr="00000000">
        <w:rPr>
          <w:rtl w:val="0"/>
        </w:rPr>
      </w:r>
    </w:p>
    <w:p w:rsidR="00000000" w:rsidDel="00000000" w:rsidP="00000000" w:rsidRDefault="00000000" w:rsidRPr="00000000" w14:paraId="0000000D">
      <w:pPr>
        <w:spacing w:after="40" w:lineRule="auto"/>
        <w:rPr/>
      </w:pPr>
      <w:r w:rsidDel="00000000" w:rsidR="00000000" w:rsidRPr="00000000">
        <w:rPr>
          <w:b w:val="1"/>
          <w:bCs w:val="1"/>
          <w:color w:val="718096"/>
          <w:sz w:val="18"/>
          <w:szCs w:val="18"/>
          <w:rtl w:val="0"/>
        </w:rPr>
        <w:t xml:space="preserve">Scope</w:t>
      </w:r>
      <w:r w:rsidDel="00000000" w:rsidR="00000000" w:rsidRPr="00000000">
        <w:rPr>
          <w:rtl w:val="0"/>
        </w:rPr>
      </w:r>
    </w:p>
    <w:p w:rsidR="00000000" w:rsidDel="00000000" w:rsidP="00000000" w:rsidRDefault="00000000" w:rsidRPr="00000000" w14:paraId="0000000E">
      <w:pPr>
        <w:rPr/>
      </w:pPr>
      <w:r w:rsidDel="00000000" w:rsidR="00000000" w:rsidRPr="00000000">
        <w:rPr>
          <w:color w:val="2d3748"/>
          <w:rtl w:val="0"/>
        </w:rPr>
        <w:t xml:space="preserve">Issues, successes, process creation, best practice, industry support; the intersection and distinction between Applied AI and MLOps.</w:t>
      </w:r>
      <w:r w:rsidDel="00000000" w:rsidR="00000000" w:rsidRPr="00000000">
        <w:rPr>
          <w:rtl w:val="0"/>
        </w:rPr>
      </w:r>
    </w:p>
    <w:p w:rsidR="00000000" w:rsidDel="00000000" w:rsidP="00000000" w:rsidRDefault="00000000" w:rsidRPr="00000000" w14:paraId="0000000F">
      <w:pPr>
        <w:rPr/>
      </w:pPr>
      <w:r w:rsidDel="00000000" w:rsidR="00000000" w:rsidRPr="00000000">
        <w:br w:type="page"/>
      </w:r>
      <w:r w:rsidDel="00000000" w:rsidR="00000000" w:rsidRPr="00000000">
        <w:rPr>
          <w:rtl w:val="0"/>
        </w:rPr>
      </w:r>
    </w:p>
    <w:p w:rsidR="00000000" w:rsidDel="00000000" w:rsidP="00000000" w:rsidRDefault="00000000" w:rsidRPr="00000000" w14:paraId="00000010">
      <w:pPr>
        <w:pStyle w:val="Heading1"/>
        <w:pBdr>
          <w:bottom w:color="1f3a5f" w:space="6" w:sz="12" w:val="single"/>
        </w:pBdr>
        <w:rPr/>
      </w:pPr>
      <w:r w:rsidDel="00000000" w:rsidR="00000000" w:rsidRPr="00000000">
        <w:rPr>
          <w:rtl w:val="0"/>
        </w:rPr>
        <w:t xml:space="preserve">Executive Summary</w:t>
      </w:r>
    </w:p>
    <w:p w:rsidR="00000000" w:rsidDel="00000000" w:rsidP="00000000" w:rsidRDefault="00000000" w:rsidRPr="00000000" w14:paraId="00000011">
      <w:pPr>
        <w:spacing w:after="160" w:before="80" w:line="300" w:lineRule="auto"/>
        <w:jc w:val="both"/>
        <w:rPr/>
      </w:pPr>
      <w:r w:rsidDel="00000000" w:rsidR="00000000" w:rsidRPr="00000000">
        <w:rPr>
          <w:color w:val="2d3748"/>
          <w:rtl w:val="0"/>
        </w:rPr>
        <w:t xml:space="preserve">Applied AI — the discipline of selecting, deploying, and operating AI to solve concrete business problems — has reached a decisive inflection point. Adoption is no longer the bottleneck. According to McKinsey's November 2025 State of AI survey, 88 percent of organizations now use AI in at least one function, yet only about 6 percent qualify as high performers attributing more than 5 percent of EBIT to AI use. The gap between using AI and getting value from it is the defining problem of the current era.</w:t>
      </w:r>
      <w:r w:rsidDel="00000000" w:rsidR="00000000" w:rsidRPr="00000000">
        <w:rPr>
          <w:rtl w:val="0"/>
        </w:rPr>
      </w:r>
    </w:p>
    <w:p w:rsidR="00000000" w:rsidDel="00000000" w:rsidP="00000000" w:rsidRDefault="00000000" w:rsidRPr="00000000" w14:paraId="00000012">
      <w:pPr>
        <w:spacing w:after="160" w:before="80" w:line="300" w:lineRule="auto"/>
        <w:jc w:val="both"/>
        <w:rPr/>
      </w:pPr>
      <w:r w:rsidDel="00000000" w:rsidR="00000000" w:rsidRPr="00000000">
        <w:rPr>
          <w:color w:val="2d3748"/>
          <w:rtl w:val="0"/>
        </w:rPr>
        <w:t xml:space="preserve">The evidence converges from multiple independent sources. RAND Corporation's 2024 study of 65 experienced data scientists and engineers concluded that more than 80 percent of AI projects fail — roughly twice the failure rate of conventional IT projects. MIT's Project NANDA, in its July 2025 "GenAI Divide" report, found that just 5 percent of integrated generative AI pilots reach production with measurable P&amp;L impact, despite an estimated $30–40 billion in enterprise spending. The NANDA findings have been challenged on methodological grounds, but the directional conclusion — that adoption far outpaces transformation — is reinforced by BCG, S&amp;P Global, Gartner, and McKinsey using different samples and instruments.</w:t>
      </w:r>
      <w:r w:rsidDel="00000000" w:rsidR="00000000" w:rsidRPr="00000000">
        <w:rPr>
          <w:rtl w:val="0"/>
        </w:rPr>
      </w:r>
    </w:p>
    <w:p w:rsidR="00000000" w:rsidDel="00000000" w:rsidP="00000000" w:rsidRDefault="00000000" w:rsidRPr="00000000" w14:paraId="00000013">
      <w:pPr>
        <w:pStyle w:val="Heading3"/>
        <w:rPr/>
      </w:pPr>
      <w:r w:rsidDel="00000000" w:rsidR="00000000" w:rsidRPr="00000000">
        <w:rPr>
          <w:rtl w:val="0"/>
        </w:rPr>
        <w:t xml:space="preserve">Five findings shape the rest of this brief</w:t>
      </w:r>
    </w:p>
    <w:p w:rsidR="00000000" w:rsidDel="00000000" w:rsidP="00000000" w:rsidRDefault="00000000" w:rsidRPr="00000000" w14:paraId="0000001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1"/>
          <w:bCs w:val="1"/>
          <w:i w:val="0"/>
          <w:iCs w:val="0"/>
          <w:smallCaps w:val="0"/>
          <w:strike w:val="0"/>
          <w:color w:val="2d3748"/>
          <w:sz w:val="22"/>
          <w:szCs w:val="22"/>
          <w:u w:val="none"/>
          <w:shd w:fill="auto" w:val="clear"/>
          <w:vertAlign w:val="baseline"/>
          <w:rtl w:val="0"/>
        </w:rPr>
        <w:t xml:space="preserve">Failure is rarely technological. </w:t>
      </w: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RAND identifies misunderstanding the problem and weak business-domain communication as the dominant root causes — ahead of data, infrastructure, and model limits.</w:t>
      </w:r>
      <w:r w:rsidDel="00000000" w:rsidR="00000000" w:rsidRPr="00000000">
        <w:rPr>
          <w:rtl w:val="0"/>
        </w:rPr>
      </w:r>
    </w:p>
    <w:p w:rsidR="00000000" w:rsidDel="00000000" w:rsidP="00000000" w:rsidRDefault="00000000" w:rsidRPr="00000000" w14:paraId="0000001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1"/>
          <w:bCs w:val="1"/>
          <w:i w:val="0"/>
          <w:iCs w:val="0"/>
          <w:smallCaps w:val="0"/>
          <w:strike w:val="0"/>
          <w:color w:val="2d3748"/>
          <w:sz w:val="22"/>
          <w:szCs w:val="22"/>
          <w:u w:val="none"/>
          <w:shd w:fill="auto" w:val="clear"/>
          <w:vertAlign w:val="baseline"/>
          <w:rtl w:val="0"/>
        </w:rPr>
        <w:t xml:space="preserve">Workflow redesign is the single strongest differentiator. </w:t>
      </w: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McKinsey's relative-weights analysis of 31 organizational variables ranks fundamental workflow redesign first in explaining EBIT impact; high performers are nearly three times more likely to have undertaken it.</w:t>
      </w:r>
      <w:r w:rsidDel="00000000" w:rsidR="00000000" w:rsidRPr="00000000">
        <w:rPr>
          <w:rtl w:val="0"/>
        </w:rPr>
      </w:r>
    </w:p>
    <w:p w:rsidR="00000000" w:rsidDel="00000000" w:rsidP="00000000" w:rsidRDefault="00000000" w:rsidRPr="00000000" w14:paraId="0000001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1"/>
          <w:bCs w:val="1"/>
          <w:i w:val="0"/>
          <w:iCs w:val="0"/>
          <w:smallCaps w:val="0"/>
          <w:strike w:val="0"/>
          <w:color w:val="2d3748"/>
          <w:sz w:val="22"/>
          <w:szCs w:val="22"/>
          <w:u w:val="none"/>
          <w:shd w:fill="auto" w:val="clear"/>
          <w:vertAlign w:val="baseline"/>
          <w:rtl w:val="0"/>
        </w:rPr>
        <w:t xml:space="preserve">Applied AI and MLOps are complementary but not synonymous. </w:t>
      </w: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Applied AI is a problem-first discipline; MLOps is an engineering practice for operating models reliably. A mature program needs both — and increasingly an LLMOps layer for generative systems.</w:t>
      </w:r>
      <w:r w:rsidDel="00000000" w:rsidR="00000000" w:rsidRPr="00000000">
        <w:rPr>
          <w:rtl w:val="0"/>
        </w:rPr>
      </w:r>
    </w:p>
    <w:p w:rsidR="00000000" w:rsidDel="00000000" w:rsidP="00000000" w:rsidRDefault="00000000" w:rsidRPr="00000000" w14:paraId="0000001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1"/>
          <w:bCs w:val="1"/>
          <w:i w:val="0"/>
          <w:iCs w:val="0"/>
          <w:smallCaps w:val="0"/>
          <w:strike w:val="0"/>
          <w:color w:val="2d3748"/>
          <w:sz w:val="22"/>
          <w:szCs w:val="22"/>
          <w:u w:val="none"/>
          <w:shd w:fill="auto" w:val="clear"/>
          <w:vertAlign w:val="baseline"/>
          <w:rtl w:val="0"/>
        </w:rPr>
        <w:t xml:space="preserve">Industry support is consolidating around three governance frameworks. </w:t>
      </w: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NIST AI RMF (voluntary, US-anchored), ISO/IEC 42001 (international, certifiable management system), and the EU AI Act (binding law, risk-tiered) form a triangulated stack that mature programs map together rather than treat as alternatives.</w:t>
      </w:r>
      <w:r w:rsidDel="00000000" w:rsidR="00000000" w:rsidRPr="00000000">
        <w:rPr>
          <w:rtl w:val="0"/>
        </w:rPr>
      </w:r>
    </w:p>
    <w:p w:rsidR="00000000" w:rsidDel="00000000" w:rsidP="00000000" w:rsidRDefault="00000000" w:rsidRPr="00000000" w14:paraId="0000001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1"/>
          <w:bCs w:val="1"/>
          <w:i w:val="0"/>
          <w:iCs w:val="0"/>
          <w:smallCaps w:val="0"/>
          <w:strike w:val="0"/>
          <w:color w:val="2d3748"/>
          <w:sz w:val="22"/>
          <w:szCs w:val="22"/>
          <w:u w:val="none"/>
          <w:shd w:fill="auto" w:val="clear"/>
          <w:vertAlign w:val="baseline"/>
          <w:rtl w:val="0"/>
        </w:rPr>
        <w:t xml:space="preserve">Mid-market is outpacing large enterprises on speed-to-production. </w:t>
      </w: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MIT NANDA reports top mid-market performers average 90 days from pilot to full implementation; enterprises typically take nine months or longer. Speed appears tied to decisiveness, not capability.</w:t>
      </w:r>
      <w:r w:rsidDel="00000000" w:rsidR="00000000" w:rsidRPr="00000000">
        <w:rPr>
          <w:rtl w:val="0"/>
        </w:rPr>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pBdr>
          <w:left w:color="276749" w:space="8" w:sz="24" w:val="single"/>
        </w:pBdr>
        <w:shd w:fill="c6f6d5" w:val="clear"/>
        <w:spacing w:after="200" w:before="120" w:lineRule="auto"/>
        <w:ind w:left="240" w:right="240" w:firstLine="0"/>
        <w:rPr/>
      </w:pPr>
      <w:r w:rsidDel="00000000" w:rsidR="00000000" w:rsidRPr="00000000">
        <w:rPr>
          <w:b w:val="1"/>
          <w:bCs w:val="1"/>
          <w:color w:val="276749"/>
          <w:sz w:val="20"/>
          <w:szCs w:val="20"/>
          <w:rtl w:val="0"/>
        </w:rPr>
        <w:t xml:space="preserve">Bottom line: </w:t>
      </w:r>
      <w:r w:rsidDel="00000000" w:rsidR="00000000" w:rsidRPr="00000000">
        <w:rPr>
          <w:color w:val="2d3748"/>
          <w:sz w:val="21"/>
          <w:szCs w:val="21"/>
          <w:rtl w:val="0"/>
        </w:rPr>
        <w:t xml:space="preserve">The organizations capturing value are not the ones with the most pilots or the best models. They are the ones that pick the right problem, redesign the work around the AI, and operationalize disciplined feedback and monitoring. That is the work of Applied AI — and MLOps is one of the disciplines that makes it durable.</w:t>
      </w:r>
      <w:r w:rsidDel="00000000" w:rsidR="00000000" w:rsidRPr="00000000">
        <w:rPr>
          <w:rtl w:val="0"/>
        </w:rPr>
      </w:r>
    </w:p>
    <w:p w:rsidR="00000000" w:rsidDel="00000000" w:rsidP="00000000" w:rsidRDefault="00000000" w:rsidRPr="00000000" w14:paraId="0000001B">
      <w:pPr>
        <w:pStyle w:val="Heading1"/>
        <w:pBdr>
          <w:bottom w:color="1f3a5f" w:space="6" w:sz="12" w:val="single"/>
        </w:pBdr>
        <w:rPr/>
      </w:pPr>
      <w:r w:rsidDel="00000000" w:rsidR="00000000" w:rsidRPr="00000000">
        <w:rPr>
          <w:rtl w:val="0"/>
        </w:rPr>
        <w:t xml:space="preserve">1. Defining Applied AI</w:t>
      </w:r>
    </w:p>
    <w:p w:rsidR="00000000" w:rsidDel="00000000" w:rsidP="00000000" w:rsidRDefault="00000000" w:rsidRPr="00000000" w14:paraId="0000001C">
      <w:pPr>
        <w:spacing w:after="160" w:before="80" w:line="300" w:lineRule="auto"/>
        <w:jc w:val="both"/>
        <w:rPr/>
      </w:pPr>
      <w:r w:rsidDel="00000000" w:rsidR="00000000" w:rsidRPr="00000000">
        <w:rPr>
          <w:color w:val="2d3748"/>
          <w:rtl w:val="0"/>
        </w:rPr>
        <w:t xml:space="preserve">"Applied AI" is used in industry with more enthusiasm than precision. Three definitions appear in the literature, and the differences matter for how organizations design programs around them.</w:t>
      </w:r>
      <w:r w:rsidDel="00000000" w:rsidR="00000000" w:rsidRPr="00000000">
        <w:rPr>
          <w:rtl w:val="0"/>
        </w:rPr>
      </w:r>
    </w:p>
    <w:p w:rsidR="00000000" w:rsidDel="00000000" w:rsidP="00000000" w:rsidRDefault="00000000" w:rsidRPr="00000000" w14:paraId="0000001D">
      <w:pPr>
        <w:pStyle w:val="Heading3"/>
        <w:rPr/>
      </w:pPr>
      <w:r w:rsidDel="00000000" w:rsidR="00000000" w:rsidRPr="00000000">
        <w:rPr>
          <w:rtl w:val="0"/>
        </w:rPr>
        <w:t xml:space="preserve">Three working definitions</w:t>
      </w:r>
    </w:p>
    <w:p w:rsidR="00000000" w:rsidDel="00000000" w:rsidP="00000000" w:rsidRDefault="00000000" w:rsidRPr="00000000" w14:paraId="0000001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1"/>
          <w:bCs w:val="1"/>
          <w:i w:val="0"/>
          <w:iCs w:val="0"/>
          <w:smallCaps w:val="0"/>
          <w:strike w:val="0"/>
          <w:color w:val="2d3748"/>
          <w:sz w:val="22"/>
          <w:szCs w:val="22"/>
          <w:u w:val="none"/>
          <w:shd w:fill="auto" w:val="clear"/>
          <w:vertAlign w:val="baseline"/>
          <w:rtl w:val="0"/>
        </w:rPr>
        <w:t xml:space="preserve">The problem-first definition. </w:t>
      </w: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Applied AI is the discipline of selecting AI techniques — supervised learning, retrieval-augmented generation, reinforcement learning, structured prediction — to solve a concrete business or scientific problem with measurable outcomes. The emphasis is on problem framing, fit-for-purpose technique selection, and integration into existing workflows. This is the framing RAND uses implicitly in its failure analysis and MIT Sloan Management Review uses when contrasting "value" with mere "usefulness."</w:t>
      </w:r>
      <w:r w:rsidDel="00000000" w:rsidR="00000000" w:rsidRPr="00000000">
        <w:rPr>
          <w:rtl w:val="0"/>
        </w:rPr>
      </w:r>
    </w:p>
    <w:p w:rsidR="00000000" w:rsidDel="00000000" w:rsidP="00000000" w:rsidRDefault="00000000" w:rsidRPr="00000000" w14:paraId="0000001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1"/>
          <w:bCs w:val="1"/>
          <w:i w:val="0"/>
          <w:iCs w:val="0"/>
          <w:smallCaps w:val="0"/>
          <w:strike w:val="0"/>
          <w:color w:val="2d3748"/>
          <w:sz w:val="22"/>
          <w:szCs w:val="22"/>
          <w:u w:val="none"/>
          <w:shd w:fill="auto" w:val="clear"/>
          <w:vertAlign w:val="baseline"/>
          <w:rtl w:val="0"/>
        </w:rPr>
        <w:t xml:space="preserve">The deployment-first definition. </w:t>
      </w: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Applied AI is the body of practice that takes AI from prototype to production. This framing is closer to what some practitioners label "AI engineering" and overlaps substantially with MLOps. Google Cloud's MLOps reference architecture, Kreuzberger, Kühl, and Hirschl's (2023) MLOps definition and architecture, and the 2025 Zarour et al. systematic review of MLOps best practices and maturity models all sit in this tradition.</w:t>
      </w:r>
      <w:r w:rsidDel="00000000" w:rsidR="00000000" w:rsidRPr="00000000">
        <w:rPr>
          <w:rtl w:val="0"/>
        </w:rPr>
      </w:r>
    </w:p>
    <w:p w:rsidR="00000000" w:rsidDel="00000000" w:rsidP="00000000" w:rsidRDefault="00000000" w:rsidRPr="00000000" w14:paraId="0000002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1"/>
          <w:bCs w:val="1"/>
          <w:i w:val="0"/>
          <w:iCs w:val="0"/>
          <w:smallCaps w:val="0"/>
          <w:strike w:val="0"/>
          <w:color w:val="2d3748"/>
          <w:sz w:val="22"/>
          <w:szCs w:val="22"/>
          <w:u w:val="none"/>
          <w:shd w:fill="auto" w:val="clear"/>
          <w:vertAlign w:val="baseline"/>
          <w:rtl w:val="0"/>
        </w:rPr>
        <w:t xml:space="preserve">The domain-first definition. </w:t>
      </w: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Applied AI is AI applied to a particular industrial domain — Industrial AI for manufacturing (Lee et al., "Lighthouse Factories"), AI for Science (Nature Research Intelligence, 2025), AI for field service, AI for healthcare. Domain framing emphasizes the specifics that generic AI engineering misses: tolerance for error, regulatory regime, data scarcity, and the human–machine interaction patterns of the work.</w:t>
      </w:r>
      <w:r w:rsidDel="00000000" w:rsidR="00000000" w:rsidRPr="00000000">
        <w:rPr>
          <w:rtl w:val="0"/>
        </w:rPr>
      </w:r>
    </w:p>
    <w:p w:rsidR="00000000" w:rsidDel="00000000" w:rsidP="00000000" w:rsidRDefault="00000000" w:rsidRPr="00000000" w14:paraId="00000021">
      <w:pPr>
        <w:spacing w:after="160" w:before="80" w:line="300" w:lineRule="auto"/>
        <w:jc w:val="both"/>
        <w:rPr/>
      </w:pPr>
      <w:r w:rsidDel="00000000" w:rsidR="00000000" w:rsidRPr="00000000">
        <w:rPr>
          <w:color w:val="2d3748"/>
          <w:rtl w:val="0"/>
        </w:rPr>
        <w:t xml:space="preserve">These three are not in conflict — they correspond to different layers of the same activity. A useful synthesis: Applied AI is the problem-first discipline of building AI-enabled solutions that work in specific industrial contexts, which in turn depends on MLOps as its engineering substrate. The 2019 arXiv paper "Industrial Artificial Intelligence" captures this layered view, describing Industrial AI as "a systematic discipline to enable engineers to systematically develop and deploy AI algorithms with repeating and consistent successes."</w:t>
      </w:r>
      <w:r w:rsidDel="00000000" w:rsidR="00000000" w:rsidRPr="00000000">
        <w:rPr>
          <w:rtl w:val="0"/>
        </w:rPr>
      </w:r>
    </w:p>
    <w:p w:rsidR="00000000" w:rsidDel="00000000" w:rsidP="00000000" w:rsidRDefault="00000000" w:rsidRPr="00000000" w14:paraId="00000022">
      <w:pPr>
        <w:pStyle w:val="Heading3"/>
        <w:rPr/>
      </w:pPr>
      <w:r w:rsidDel="00000000" w:rsidR="00000000" w:rsidRPr="00000000">
        <w:rPr>
          <w:rtl w:val="0"/>
        </w:rPr>
        <w:t xml:space="preserve">Why the definition matters in practice</w:t>
      </w:r>
    </w:p>
    <w:p w:rsidR="00000000" w:rsidDel="00000000" w:rsidP="00000000" w:rsidRDefault="00000000" w:rsidRPr="00000000" w14:paraId="00000023">
      <w:pPr>
        <w:spacing w:after="160" w:before="80" w:line="300" w:lineRule="auto"/>
        <w:jc w:val="both"/>
        <w:rPr>
          <w:color w:val="2d3748"/>
        </w:rPr>
      </w:pPr>
      <w:r w:rsidDel="00000000" w:rsidR="00000000" w:rsidRPr="00000000">
        <w:rPr>
          <w:color w:val="2d3748"/>
          <w:rtl w:val="0"/>
        </w:rPr>
        <w:t xml:space="preserve">Programs scoped under the deployment-first definition tend to over-invest in tooling and under-invest in problem selection. Programs scoped under the problem-first definition tend to underestimate the operational discipline required to keep deployed systems reliable. Programs scoped under the domain-first definition often miss the cross-domain best practices that would shorten their learning curve. The most successful organizations in the McKinsey high-performer cohort and the MIT NANDA buyer-side analysis read more like problem-first programs that have invested in operational substrate, rather than the reverse.</w:t>
      </w:r>
    </w:p>
    <w:p w:rsidR="00000000" w:rsidDel="00000000" w:rsidP="00000000" w:rsidRDefault="00000000" w:rsidRPr="00000000" w14:paraId="00000024">
      <w:pPr>
        <w:spacing w:after="160" w:before="80" w:line="300" w:lineRule="auto"/>
        <w:jc w:val="both"/>
        <w:rPr/>
      </w:pPr>
      <w:r w:rsidDel="00000000" w:rsidR="00000000" w:rsidRPr="00000000">
        <w:rPr>
          <w:b w:val="1"/>
          <w:bCs w:val="1"/>
          <w:color w:val="2e75b6"/>
          <w:sz w:val="20"/>
          <w:szCs w:val="20"/>
          <w:rtl w:val="0"/>
        </w:rPr>
        <w:t xml:space="preserve">Working definition for this brief  </w:t>
      </w:r>
      <w:r w:rsidDel="00000000" w:rsidR="00000000" w:rsidRPr="00000000">
        <w:rPr>
          <w:color w:val="2d3748"/>
          <w:sz w:val="21"/>
          <w:szCs w:val="21"/>
          <w:rtl w:val="0"/>
        </w:rPr>
        <w:t xml:space="preserve">Applied AI is the discipline of selecting, deploying, and operating AI techniques to solve specific business or industrial problems with measurable outcomes. It is distinguished from foundational AI research by its outcome orientation, from generic software engineering by its statistical and probabilistic nature, and — as Section 6 details — from MLOps by its problem-first rather than systems-first scope.</w:t>
      </w:r>
      <w:r w:rsidDel="00000000" w:rsidR="00000000" w:rsidRPr="00000000">
        <w:rPr>
          <w:rtl w:val="0"/>
        </w:rPr>
      </w:r>
    </w:p>
    <w:p w:rsidR="00000000" w:rsidDel="00000000" w:rsidP="00000000" w:rsidRDefault="00000000" w:rsidRPr="00000000" w14:paraId="00000025">
      <w:pPr>
        <w:pStyle w:val="Heading1"/>
        <w:pBdr>
          <w:bottom w:color="1f3a5f" w:space="6" w:sz="12" w:val="single"/>
        </w:pBdr>
        <w:rPr/>
      </w:pPr>
      <w:r w:rsidDel="00000000" w:rsidR="00000000" w:rsidRPr="00000000">
        <w:rPr>
          <w:rtl w:val="0"/>
        </w:rPr>
        <w:t xml:space="preserve">2.  The State of Applied AI in 2025–2026</w:t>
      </w:r>
    </w:p>
    <w:p w:rsidR="00000000" w:rsidDel="00000000" w:rsidP="00000000" w:rsidRDefault="00000000" w:rsidRPr="00000000" w14:paraId="00000026">
      <w:pPr>
        <w:pStyle w:val="Heading2"/>
        <w:rPr/>
      </w:pPr>
      <w:r w:rsidDel="00000000" w:rsidR="00000000" w:rsidRPr="00000000">
        <w:rPr>
          <w:rtl w:val="0"/>
        </w:rPr>
        <w:t xml:space="preserve">2.1 The headline data: adoption is up, value is rare</w:t>
      </w:r>
    </w:p>
    <w:p w:rsidR="00000000" w:rsidDel="00000000" w:rsidP="00000000" w:rsidRDefault="00000000" w:rsidRPr="00000000" w14:paraId="00000027">
      <w:pPr>
        <w:spacing w:after="160" w:before="80" w:line="300" w:lineRule="auto"/>
        <w:jc w:val="both"/>
        <w:rPr/>
      </w:pPr>
      <w:r w:rsidDel="00000000" w:rsidR="00000000" w:rsidRPr="00000000">
        <w:rPr>
          <w:color w:val="2d3748"/>
          <w:rtl w:val="0"/>
        </w:rPr>
        <w:t xml:space="preserve">Four independent research streams converge on a consistent finding: organizations are adopting AI rapidly and at scale but converting adoption into measurable financial impact remains the exception rather than the norm.</w:t>
      </w:r>
      <w:r w:rsidDel="00000000" w:rsidR="00000000" w:rsidRPr="00000000">
        <w:rPr>
          <w:rtl w:val="0"/>
        </w:rPr>
      </w:r>
    </w:p>
    <w:tbl>
      <w:tblPr>
        <w:tblStyle w:val="Table1"/>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00"/>
        <w:gridCol w:w="4360"/>
        <w:gridCol w:w="2800"/>
        <w:tblGridChange w:id="0">
          <w:tblGrid>
            <w:gridCol w:w="2200"/>
            <w:gridCol w:w="4360"/>
            <w:gridCol w:w="2800"/>
          </w:tblGrid>
        </w:tblGridChange>
      </w:tblGrid>
      <w:tr>
        <w:trPr>
          <w:cantSplit w:val="0"/>
          <w:tblHeader w:val="1"/>
        </w:trPr>
        <w:tc>
          <w:tcPr>
            <w:tcBorders>
              <w:top w:color="cbd5e0" w:space="0" w:sz="4" w:val="single"/>
              <w:left w:color="cbd5e0" w:space="0" w:sz="4" w:val="single"/>
              <w:bottom w:color="cbd5e0" w:space="0" w:sz="4" w:val="single"/>
              <w:right w:color="cbd5e0" w:space="0" w:sz="4" w:val="single"/>
            </w:tcBorders>
            <w:shd w:fill="1f3a5f" w:val="clear"/>
            <w:tcMar>
              <w:top w:w="100.0" w:type="dxa"/>
              <w:left w:w="140.0" w:type="dxa"/>
              <w:bottom w:w="100.0" w:type="dxa"/>
              <w:right w:w="140.0" w:type="dxa"/>
            </w:tcMar>
            <w:vAlign w:val="center"/>
          </w:tcPr>
          <w:p w:rsidR="00000000" w:rsidDel="00000000" w:rsidP="00000000" w:rsidRDefault="00000000" w:rsidRPr="00000000" w14:paraId="00000028">
            <w:pPr>
              <w:spacing w:line="260" w:lineRule="auto"/>
              <w:rPr/>
            </w:pPr>
            <w:r w:rsidDel="00000000" w:rsidR="00000000" w:rsidRPr="00000000">
              <w:rPr>
                <w:b w:val="1"/>
                <w:bCs w:val="1"/>
                <w:color w:val="ffffff"/>
                <w:sz w:val="20"/>
                <w:szCs w:val="20"/>
                <w:rtl w:val="0"/>
              </w:rPr>
              <w:t xml:space="preserve">Source</w:t>
            </w:r>
            <w:r w:rsidDel="00000000" w:rsidR="00000000" w:rsidRPr="00000000">
              <w:rPr>
                <w:rtl w:val="0"/>
              </w:rPr>
            </w:r>
          </w:p>
        </w:tc>
        <w:tc>
          <w:tcPr>
            <w:tcBorders>
              <w:top w:color="cbd5e0" w:space="0" w:sz="4" w:val="single"/>
              <w:left w:color="cbd5e0" w:space="0" w:sz="4" w:val="single"/>
              <w:bottom w:color="cbd5e0" w:space="0" w:sz="4" w:val="single"/>
              <w:right w:color="cbd5e0" w:space="0" w:sz="4" w:val="single"/>
            </w:tcBorders>
            <w:shd w:fill="1f3a5f" w:val="clear"/>
            <w:tcMar>
              <w:top w:w="100.0" w:type="dxa"/>
              <w:left w:w="140.0" w:type="dxa"/>
              <w:bottom w:w="100.0" w:type="dxa"/>
              <w:right w:w="140.0" w:type="dxa"/>
            </w:tcMar>
            <w:vAlign w:val="center"/>
          </w:tcPr>
          <w:p w:rsidR="00000000" w:rsidDel="00000000" w:rsidP="00000000" w:rsidRDefault="00000000" w:rsidRPr="00000000" w14:paraId="00000029">
            <w:pPr>
              <w:spacing w:line="260" w:lineRule="auto"/>
              <w:rPr/>
            </w:pPr>
            <w:r w:rsidDel="00000000" w:rsidR="00000000" w:rsidRPr="00000000">
              <w:rPr>
                <w:b w:val="1"/>
                <w:bCs w:val="1"/>
                <w:color w:val="ffffff"/>
                <w:sz w:val="20"/>
                <w:szCs w:val="20"/>
                <w:rtl w:val="0"/>
              </w:rPr>
              <w:t xml:space="preserve">Finding</w:t>
            </w:r>
            <w:r w:rsidDel="00000000" w:rsidR="00000000" w:rsidRPr="00000000">
              <w:rPr>
                <w:rtl w:val="0"/>
              </w:rPr>
            </w:r>
          </w:p>
        </w:tc>
        <w:tc>
          <w:tcPr>
            <w:tcBorders>
              <w:top w:color="cbd5e0" w:space="0" w:sz="4" w:val="single"/>
              <w:left w:color="cbd5e0" w:space="0" w:sz="4" w:val="single"/>
              <w:bottom w:color="cbd5e0" w:space="0" w:sz="4" w:val="single"/>
              <w:right w:color="cbd5e0" w:space="0" w:sz="4" w:val="single"/>
            </w:tcBorders>
            <w:shd w:fill="1f3a5f" w:val="clear"/>
            <w:tcMar>
              <w:top w:w="100.0" w:type="dxa"/>
              <w:left w:w="140.0" w:type="dxa"/>
              <w:bottom w:w="100.0" w:type="dxa"/>
              <w:right w:w="140.0" w:type="dxa"/>
            </w:tcMar>
            <w:vAlign w:val="center"/>
          </w:tcPr>
          <w:p w:rsidR="00000000" w:rsidDel="00000000" w:rsidP="00000000" w:rsidRDefault="00000000" w:rsidRPr="00000000" w14:paraId="0000002A">
            <w:pPr>
              <w:spacing w:line="260" w:lineRule="auto"/>
              <w:rPr/>
            </w:pPr>
            <w:r w:rsidDel="00000000" w:rsidR="00000000" w:rsidRPr="00000000">
              <w:rPr>
                <w:b w:val="1"/>
                <w:bCs w:val="1"/>
                <w:color w:val="ffffff"/>
                <w:sz w:val="20"/>
                <w:szCs w:val="20"/>
                <w:rtl w:val="0"/>
              </w:rPr>
              <w:t xml:space="preserve">Method / Sample</w:t>
            </w:r>
            <w:r w:rsidDel="00000000" w:rsidR="00000000" w:rsidRPr="00000000">
              <w:rPr>
                <w:rtl w:val="0"/>
              </w:rPr>
            </w:r>
          </w:p>
        </w:tc>
      </w:tr>
      <w:tr>
        <w:trPr>
          <w:cantSplit w:val="0"/>
          <w:tblHeader w:val="0"/>
        </w:trPr>
        <w:tc>
          <w:tcPr>
            <w:tcBorders>
              <w:top w:color="cbd5e0" w:space="0" w:sz="4" w:val="single"/>
              <w:left w:color="cbd5e0" w:space="0" w:sz="4" w:val="single"/>
              <w:bottom w:color="cbd5e0" w:space="0" w:sz="4" w:val="single"/>
              <w:right w:color="cbd5e0" w:space="0" w:sz="4" w:val="single"/>
            </w:tcBorders>
            <w:tcMar>
              <w:top w:w="100.0" w:type="dxa"/>
              <w:left w:w="140.0" w:type="dxa"/>
              <w:bottom w:w="100.0" w:type="dxa"/>
              <w:right w:w="140.0" w:type="dxa"/>
            </w:tcMar>
            <w:vAlign w:val="center"/>
          </w:tcPr>
          <w:p w:rsidR="00000000" w:rsidDel="00000000" w:rsidP="00000000" w:rsidRDefault="00000000" w:rsidRPr="00000000" w14:paraId="0000002B">
            <w:pPr>
              <w:spacing w:line="260" w:lineRule="auto"/>
              <w:rPr/>
            </w:pPr>
            <w:r w:rsidDel="00000000" w:rsidR="00000000" w:rsidRPr="00000000">
              <w:rPr>
                <w:b w:val="1"/>
                <w:bCs w:val="1"/>
                <w:color w:val="2d3748"/>
                <w:sz w:val="20"/>
                <w:szCs w:val="20"/>
                <w:rtl w:val="0"/>
              </w:rPr>
              <w:t xml:space="preserve">MIT NANDA (July 2025)</w:t>
            </w:r>
            <w:r w:rsidDel="00000000" w:rsidR="00000000" w:rsidRPr="00000000">
              <w:rPr>
                <w:rtl w:val="0"/>
              </w:rPr>
            </w:r>
          </w:p>
        </w:tc>
        <w:tc>
          <w:tcPr>
            <w:tcBorders>
              <w:top w:color="cbd5e0" w:space="0" w:sz="4" w:val="single"/>
              <w:left w:color="cbd5e0" w:space="0" w:sz="4" w:val="single"/>
              <w:bottom w:color="cbd5e0" w:space="0" w:sz="4" w:val="single"/>
              <w:right w:color="cbd5e0" w:space="0" w:sz="4" w:val="single"/>
            </w:tcBorders>
            <w:tcMar>
              <w:top w:w="100.0" w:type="dxa"/>
              <w:left w:w="140.0" w:type="dxa"/>
              <w:bottom w:w="100.0" w:type="dxa"/>
              <w:right w:w="140.0" w:type="dxa"/>
            </w:tcMar>
            <w:vAlign w:val="center"/>
          </w:tcPr>
          <w:p w:rsidR="00000000" w:rsidDel="00000000" w:rsidP="00000000" w:rsidRDefault="00000000" w:rsidRPr="00000000" w14:paraId="0000002C">
            <w:pPr>
              <w:spacing w:line="260" w:lineRule="auto"/>
              <w:rPr/>
            </w:pPr>
            <w:r w:rsidDel="00000000" w:rsidR="00000000" w:rsidRPr="00000000">
              <w:rPr>
                <w:color w:val="2d3748"/>
                <w:sz w:val="20"/>
                <w:szCs w:val="20"/>
                <w:rtl w:val="0"/>
              </w:rPr>
              <w:t xml:space="preserve">95% of generative AI pilots show no measurable P&amp;L impact; only ~5% reach production. Mid-market top performers: 90-day pilot-to-production; large enterprises: 9+ months.</w:t>
            </w:r>
            <w:r w:rsidDel="00000000" w:rsidR="00000000" w:rsidRPr="00000000">
              <w:rPr>
                <w:rtl w:val="0"/>
              </w:rPr>
            </w:r>
          </w:p>
        </w:tc>
        <w:tc>
          <w:tcPr>
            <w:tcBorders>
              <w:top w:color="cbd5e0" w:space="0" w:sz="4" w:val="single"/>
              <w:left w:color="cbd5e0" w:space="0" w:sz="4" w:val="single"/>
              <w:bottom w:color="cbd5e0" w:space="0" w:sz="4" w:val="single"/>
              <w:right w:color="cbd5e0" w:space="0" w:sz="4" w:val="single"/>
            </w:tcBorders>
            <w:tcMar>
              <w:top w:w="100.0" w:type="dxa"/>
              <w:left w:w="140.0" w:type="dxa"/>
              <w:bottom w:w="100.0" w:type="dxa"/>
              <w:right w:w="140.0" w:type="dxa"/>
            </w:tcMar>
            <w:vAlign w:val="center"/>
          </w:tcPr>
          <w:p w:rsidR="00000000" w:rsidDel="00000000" w:rsidP="00000000" w:rsidRDefault="00000000" w:rsidRPr="00000000" w14:paraId="0000002D">
            <w:pPr>
              <w:spacing w:line="260" w:lineRule="auto"/>
              <w:rPr/>
            </w:pPr>
            <w:r w:rsidDel="00000000" w:rsidR="00000000" w:rsidRPr="00000000">
              <w:rPr>
                <w:color w:val="2d3748"/>
                <w:sz w:val="20"/>
                <w:szCs w:val="20"/>
                <w:rtl w:val="0"/>
              </w:rPr>
              <w:t xml:space="preserve">153 leader survey + 52 interviews + 300 deployment reviews</w:t>
            </w:r>
            <w:r w:rsidDel="00000000" w:rsidR="00000000" w:rsidRPr="00000000">
              <w:rPr>
                <w:rtl w:val="0"/>
              </w:rPr>
            </w:r>
          </w:p>
        </w:tc>
      </w:tr>
      <w:tr>
        <w:trPr>
          <w:cantSplit w:val="0"/>
          <w:tblHeader w:val="0"/>
        </w:trPr>
        <w:tc>
          <w:tcPr>
            <w:tcBorders>
              <w:top w:color="cbd5e0" w:space="0" w:sz="4" w:val="single"/>
              <w:left w:color="cbd5e0" w:space="0" w:sz="4" w:val="single"/>
              <w:bottom w:color="cbd5e0" w:space="0" w:sz="4" w:val="single"/>
              <w:right w:color="cbd5e0" w:space="0" w:sz="4" w:val="single"/>
            </w:tcBorders>
            <w:shd w:fill="edf2f7" w:val="clear"/>
            <w:tcMar>
              <w:top w:w="100.0" w:type="dxa"/>
              <w:left w:w="140.0" w:type="dxa"/>
              <w:bottom w:w="100.0" w:type="dxa"/>
              <w:right w:w="140.0" w:type="dxa"/>
            </w:tcMar>
            <w:vAlign w:val="center"/>
          </w:tcPr>
          <w:p w:rsidR="00000000" w:rsidDel="00000000" w:rsidP="00000000" w:rsidRDefault="00000000" w:rsidRPr="00000000" w14:paraId="0000002E">
            <w:pPr>
              <w:spacing w:line="260" w:lineRule="auto"/>
              <w:rPr/>
            </w:pPr>
            <w:r w:rsidDel="00000000" w:rsidR="00000000" w:rsidRPr="00000000">
              <w:rPr>
                <w:b w:val="1"/>
                <w:bCs w:val="1"/>
                <w:color w:val="2d3748"/>
                <w:sz w:val="20"/>
                <w:szCs w:val="20"/>
                <w:rtl w:val="0"/>
              </w:rPr>
              <w:t xml:space="preserve">RAND Corporation (2024)</w:t>
            </w:r>
            <w:r w:rsidDel="00000000" w:rsidR="00000000" w:rsidRPr="00000000">
              <w:rPr>
                <w:rtl w:val="0"/>
              </w:rPr>
            </w:r>
          </w:p>
        </w:tc>
        <w:tc>
          <w:tcPr>
            <w:tcBorders>
              <w:top w:color="cbd5e0" w:space="0" w:sz="4" w:val="single"/>
              <w:left w:color="cbd5e0" w:space="0" w:sz="4" w:val="single"/>
              <w:bottom w:color="cbd5e0" w:space="0" w:sz="4" w:val="single"/>
              <w:right w:color="cbd5e0" w:space="0" w:sz="4" w:val="single"/>
            </w:tcBorders>
            <w:shd w:fill="edf2f7" w:val="clear"/>
            <w:tcMar>
              <w:top w:w="100.0" w:type="dxa"/>
              <w:left w:w="140.0" w:type="dxa"/>
              <w:bottom w:w="100.0" w:type="dxa"/>
              <w:right w:w="140.0" w:type="dxa"/>
            </w:tcMar>
            <w:vAlign w:val="center"/>
          </w:tcPr>
          <w:p w:rsidR="00000000" w:rsidDel="00000000" w:rsidP="00000000" w:rsidRDefault="00000000" w:rsidRPr="00000000" w14:paraId="0000002F">
            <w:pPr>
              <w:spacing w:line="260" w:lineRule="auto"/>
              <w:rPr/>
            </w:pPr>
            <w:r w:rsidDel="00000000" w:rsidR="00000000" w:rsidRPr="00000000">
              <w:rPr>
                <w:color w:val="2d3748"/>
                <w:sz w:val="20"/>
                <w:szCs w:val="20"/>
                <w:rtl w:val="0"/>
              </w:rPr>
              <w:t xml:space="preserve">&gt;80% of AI projects fail to reach meaningful production — twice the failure rate of non-AI IT projects. Top causes are organizational, not technological.</w:t>
            </w:r>
            <w:r w:rsidDel="00000000" w:rsidR="00000000" w:rsidRPr="00000000">
              <w:rPr>
                <w:rtl w:val="0"/>
              </w:rPr>
            </w:r>
          </w:p>
        </w:tc>
        <w:tc>
          <w:tcPr>
            <w:tcBorders>
              <w:top w:color="cbd5e0" w:space="0" w:sz="4" w:val="single"/>
              <w:left w:color="cbd5e0" w:space="0" w:sz="4" w:val="single"/>
              <w:bottom w:color="cbd5e0" w:space="0" w:sz="4" w:val="single"/>
              <w:right w:color="cbd5e0" w:space="0" w:sz="4" w:val="single"/>
            </w:tcBorders>
            <w:shd w:fill="edf2f7" w:val="clear"/>
            <w:tcMar>
              <w:top w:w="100.0" w:type="dxa"/>
              <w:left w:w="140.0" w:type="dxa"/>
              <w:bottom w:w="100.0" w:type="dxa"/>
              <w:right w:w="140.0" w:type="dxa"/>
            </w:tcMar>
            <w:vAlign w:val="center"/>
          </w:tcPr>
          <w:p w:rsidR="00000000" w:rsidDel="00000000" w:rsidP="00000000" w:rsidRDefault="00000000" w:rsidRPr="00000000" w14:paraId="00000030">
            <w:pPr>
              <w:spacing w:line="260" w:lineRule="auto"/>
              <w:rPr/>
            </w:pPr>
            <w:r w:rsidDel="00000000" w:rsidR="00000000" w:rsidRPr="00000000">
              <w:rPr>
                <w:color w:val="2d3748"/>
                <w:sz w:val="20"/>
                <w:szCs w:val="20"/>
                <w:rtl w:val="0"/>
              </w:rPr>
              <w:t xml:space="preserve">65 structured interviews with data scientists/engineers (5+ years’ experience)</w:t>
            </w:r>
            <w:r w:rsidDel="00000000" w:rsidR="00000000" w:rsidRPr="00000000">
              <w:rPr>
                <w:rtl w:val="0"/>
              </w:rPr>
            </w:r>
          </w:p>
        </w:tc>
      </w:tr>
      <w:tr>
        <w:trPr>
          <w:cantSplit w:val="0"/>
          <w:tblHeader w:val="0"/>
        </w:trPr>
        <w:tc>
          <w:tcPr>
            <w:tcBorders>
              <w:top w:color="cbd5e0" w:space="0" w:sz="4" w:val="single"/>
              <w:left w:color="cbd5e0" w:space="0" w:sz="4" w:val="single"/>
              <w:bottom w:color="cbd5e0" w:space="0" w:sz="4" w:val="single"/>
              <w:right w:color="cbd5e0" w:space="0" w:sz="4" w:val="single"/>
            </w:tcBorders>
            <w:tcMar>
              <w:top w:w="100.0" w:type="dxa"/>
              <w:left w:w="140.0" w:type="dxa"/>
              <w:bottom w:w="100.0" w:type="dxa"/>
              <w:right w:w="140.0" w:type="dxa"/>
            </w:tcMar>
            <w:vAlign w:val="center"/>
          </w:tcPr>
          <w:p w:rsidR="00000000" w:rsidDel="00000000" w:rsidP="00000000" w:rsidRDefault="00000000" w:rsidRPr="00000000" w14:paraId="00000031">
            <w:pPr>
              <w:spacing w:line="260" w:lineRule="auto"/>
              <w:rPr/>
            </w:pPr>
            <w:r w:rsidDel="00000000" w:rsidR="00000000" w:rsidRPr="00000000">
              <w:rPr>
                <w:b w:val="1"/>
                <w:bCs w:val="1"/>
                <w:color w:val="2d3748"/>
                <w:sz w:val="20"/>
                <w:szCs w:val="20"/>
                <w:rtl w:val="0"/>
              </w:rPr>
              <w:t xml:space="preserve">McKinsey State of AI (Nov 2025)</w:t>
            </w:r>
            <w:r w:rsidDel="00000000" w:rsidR="00000000" w:rsidRPr="00000000">
              <w:rPr>
                <w:rtl w:val="0"/>
              </w:rPr>
            </w:r>
          </w:p>
        </w:tc>
        <w:tc>
          <w:tcPr>
            <w:tcBorders>
              <w:top w:color="cbd5e0" w:space="0" w:sz="4" w:val="single"/>
              <w:left w:color="cbd5e0" w:space="0" w:sz="4" w:val="single"/>
              <w:bottom w:color="cbd5e0" w:space="0" w:sz="4" w:val="single"/>
              <w:right w:color="cbd5e0" w:space="0" w:sz="4" w:val="single"/>
            </w:tcBorders>
            <w:tcMar>
              <w:top w:w="100.0" w:type="dxa"/>
              <w:left w:w="140.0" w:type="dxa"/>
              <w:bottom w:w="100.0" w:type="dxa"/>
              <w:right w:w="140.0" w:type="dxa"/>
            </w:tcMar>
            <w:vAlign w:val="center"/>
          </w:tcPr>
          <w:p w:rsidR="00000000" w:rsidDel="00000000" w:rsidP="00000000" w:rsidRDefault="00000000" w:rsidRPr="00000000" w14:paraId="00000032">
            <w:pPr>
              <w:spacing w:line="260" w:lineRule="auto"/>
              <w:rPr/>
            </w:pPr>
            <w:r w:rsidDel="00000000" w:rsidR="00000000" w:rsidRPr="00000000">
              <w:rPr>
                <w:color w:val="2d3748"/>
                <w:sz w:val="20"/>
                <w:szCs w:val="20"/>
                <w:rtl w:val="0"/>
              </w:rPr>
              <w:t xml:space="preserve">88% of organizations use AI in at least one function; only 39% report any enterprise EBIT impact; only ~6% qualify as high performers attributing &gt;5% EBIT to AI.</w:t>
            </w:r>
            <w:r w:rsidDel="00000000" w:rsidR="00000000" w:rsidRPr="00000000">
              <w:rPr>
                <w:rtl w:val="0"/>
              </w:rPr>
            </w:r>
          </w:p>
        </w:tc>
        <w:tc>
          <w:tcPr>
            <w:tcBorders>
              <w:top w:color="cbd5e0" w:space="0" w:sz="4" w:val="single"/>
              <w:left w:color="cbd5e0" w:space="0" w:sz="4" w:val="single"/>
              <w:bottom w:color="cbd5e0" w:space="0" w:sz="4" w:val="single"/>
              <w:right w:color="cbd5e0" w:space="0" w:sz="4" w:val="single"/>
            </w:tcBorders>
            <w:tcMar>
              <w:top w:w="100.0" w:type="dxa"/>
              <w:left w:w="140.0" w:type="dxa"/>
              <w:bottom w:w="100.0" w:type="dxa"/>
              <w:right w:w="140.0" w:type="dxa"/>
            </w:tcMar>
            <w:vAlign w:val="center"/>
          </w:tcPr>
          <w:p w:rsidR="00000000" w:rsidDel="00000000" w:rsidP="00000000" w:rsidRDefault="00000000" w:rsidRPr="00000000" w14:paraId="00000033">
            <w:pPr>
              <w:spacing w:line="260" w:lineRule="auto"/>
              <w:rPr/>
            </w:pPr>
            <w:r w:rsidDel="00000000" w:rsidR="00000000" w:rsidRPr="00000000">
              <w:rPr>
                <w:color w:val="2d3748"/>
                <w:sz w:val="20"/>
                <w:szCs w:val="20"/>
                <w:rtl w:val="0"/>
              </w:rPr>
              <w:t xml:space="preserve">1,993 respondents across 105 countries; June–July 2025 survey</w:t>
            </w:r>
            <w:r w:rsidDel="00000000" w:rsidR="00000000" w:rsidRPr="00000000">
              <w:rPr>
                <w:rtl w:val="0"/>
              </w:rPr>
            </w:r>
          </w:p>
        </w:tc>
      </w:tr>
      <w:tr>
        <w:trPr>
          <w:cantSplit w:val="0"/>
          <w:tblHeader w:val="0"/>
        </w:trPr>
        <w:tc>
          <w:tcPr>
            <w:tcBorders>
              <w:top w:color="cbd5e0" w:space="0" w:sz="4" w:val="single"/>
              <w:left w:color="cbd5e0" w:space="0" w:sz="4" w:val="single"/>
              <w:bottom w:color="cbd5e0" w:space="0" w:sz="4" w:val="single"/>
              <w:right w:color="cbd5e0" w:space="0" w:sz="4" w:val="single"/>
            </w:tcBorders>
            <w:shd w:fill="edf2f7" w:val="clear"/>
            <w:tcMar>
              <w:top w:w="100.0" w:type="dxa"/>
              <w:left w:w="140.0" w:type="dxa"/>
              <w:bottom w:w="100.0" w:type="dxa"/>
              <w:right w:w="140.0" w:type="dxa"/>
            </w:tcMar>
            <w:vAlign w:val="center"/>
          </w:tcPr>
          <w:p w:rsidR="00000000" w:rsidDel="00000000" w:rsidP="00000000" w:rsidRDefault="00000000" w:rsidRPr="00000000" w14:paraId="00000034">
            <w:pPr>
              <w:spacing w:line="260" w:lineRule="auto"/>
              <w:rPr/>
            </w:pPr>
            <w:r w:rsidDel="00000000" w:rsidR="00000000" w:rsidRPr="00000000">
              <w:rPr>
                <w:b w:val="1"/>
                <w:bCs w:val="1"/>
                <w:color w:val="2d3748"/>
                <w:sz w:val="20"/>
                <w:szCs w:val="20"/>
                <w:rtl w:val="0"/>
              </w:rPr>
              <w:t xml:space="preserve">BCG (Oct 2024 → Sept 2025)</w:t>
            </w:r>
            <w:r w:rsidDel="00000000" w:rsidR="00000000" w:rsidRPr="00000000">
              <w:rPr>
                <w:rtl w:val="0"/>
              </w:rPr>
            </w:r>
          </w:p>
        </w:tc>
        <w:tc>
          <w:tcPr>
            <w:tcBorders>
              <w:top w:color="cbd5e0" w:space="0" w:sz="4" w:val="single"/>
              <w:left w:color="cbd5e0" w:space="0" w:sz="4" w:val="single"/>
              <w:bottom w:color="cbd5e0" w:space="0" w:sz="4" w:val="single"/>
              <w:right w:color="cbd5e0" w:space="0" w:sz="4" w:val="single"/>
            </w:tcBorders>
            <w:shd w:fill="edf2f7" w:val="clear"/>
            <w:tcMar>
              <w:top w:w="100.0" w:type="dxa"/>
              <w:left w:w="140.0" w:type="dxa"/>
              <w:bottom w:w="100.0" w:type="dxa"/>
              <w:right w:w="140.0" w:type="dxa"/>
            </w:tcMar>
            <w:vAlign w:val="center"/>
          </w:tcPr>
          <w:p w:rsidR="00000000" w:rsidDel="00000000" w:rsidP="00000000" w:rsidRDefault="00000000" w:rsidRPr="00000000" w14:paraId="00000035">
            <w:pPr>
              <w:spacing w:line="260" w:lineRule="auto"/>
              <w:rPr/>
            </w:pPr>
            <w:r w:rsidDel="00000000" w:rsidR="00000000" w:rsidRPr="00000000">
              <w:rPr>
                <w:color w:val="2d3748"/>
                <w:sz w:val="20"/>
                <w:szCs w:val="20"/>
                <w:rtl w:val="0"/>
              </w:rPr>
              <w:t xml:space="preserve">74% of companies showed no tangible AI value (2024); deteriorated to 60% reporting no material value by September 2025.</w:t>
            </w:r>
            <w:r w:rsidDel="00000000" w:rsidR="00000000" w:rsidRPr="00000000">
              <w:rPr>
                <w:rtl w:val="0"/>
              </w:rPr>
            </w:r>
          </w:p>
        </w:tc>
        <w:tc>
          <w:tcPr>
            <w:tcBorders>
              <w:top w:color="cbd5e0" w:space="0" w:sz="4" w:val="single"/>
              <w:left w:color="cbd5e0" w:space="0" w:sz="4" w:val="single"/>
              <w:bottom w:color="cbd5e0" w:space="0" w:sz="4" w:val="single"/>
              <w:right w:color="cbd5e0" w:space="0" w:sz="4" w:val="single"/>
            </w:tcBorders>
            <w:shd w:fill="edf2f7" w:val="clear"/>
            <w:tcMar>
              <w:top w:w="100.0" w:type="dxa"/>
              <w:left w:w="140.0" w:type="dxa"/>
              <w:bottom w:w="100.0" w:type="dxa"/>
              <w:right w:w="140.0" w:type="dxa"/>
            </w:tcMar>
            <w:vAlign w:val="center"/>
          </w:tcPr>
          <w:p w:rsidR="00000000" w:rsidDel="00000000" w:rsidP="00000000" w:rsidRDefault="00000000" w:rsidRPr="00000000" w14:paraId="00000036">
            <w:pPr>
              <w:spacing w:line="260" w:lineRule="auto"/>
              <w:rPr/>
            </w:pPr>
            <w:r w:rsidDel="00000000" w:rsidR="00000000" w:rsidRPr="00000000">
              <w:rPr>
                <w:color w:val="2d3748"/>
                <w:sz w:val="20"/>
                <w:szCs w:val="20"/>
                <w:rtl w:val="0"/>
              </w:rPr>
              <w:t xml:space="preserve">Annual cross-industry executive survey</w:t>
            </w:r>
            <w:r w:rsidDel="00000000" w:rsidR="00000000" w:rsidRPr="00000000">
              <w:rPr>
                <w:rtl w:val="0"/>
              </w:rPr>
            </w:r>
          </w:p>
        </w:tc>
      </w:tr>
      <w:tr>
        <w:trPr>
          <w:cantSplit w:val="0"/>
          <w:tblHeader w:val="0"/>
        </w:trPr>
        <w:tc>
          <w:tcPr>
            <w:tcBorders>
              <w:top w:color="cbd5e0" w:space="0" w:sz="4" w:val="single"/>
              <w:left w:color="cbd5e0" w:space="0" w:sz="4" w:val="single"/>
              <w:bottom w:color="cbd5e0" w:space="0" w:sz="4" w:val="single"/>
              <w:right w:color="cbd5e0" w:space="0" w:sz="4" w:val="single"/>
            </w:tcBorders>
            <w:tcMar>
              <w:top w:w="100.0" w:type="dxa"/>
              <w:left w:w="140.0" w:type="dxa"/>
              <w:bottom w:w="100.0" w:type="dxa"/>
              <w:right w:w="140.0" w:type="dxa"/>
            </w:tcMar>
            <w:vAlign w:val="center"/>
          </w:tcPr>
          <w:p w:rsidR="00000000" w:rsidDel="00000000" w:rsidP="00000000" w:rsidRDefault="00000000" w:rsidRPr="00000000" w14:paraId="00000037">
            <w:pPr>
              <w:spacing w:line="260" w:lineRule="auto"/>
              <w:rPr/>
            </w:pPr>
            <w:r w:rsidDel="00000000" w:rsidR="00000000" w:rsidRPr="00000000">
              <w:rPr>
                <w:b w:val="1"/>
                <w:bCs w:val="1"/>
                <w:color w:val="2d3748"/>
                <w:sz w:val="20"/>
                <w:szCs w:val="20"/>
                <w:rtl w:val="0"/>
              </w:rPr>
              <w:t xml:space="preserve">S&amp;P Global Market Intelligence (mid-2025)</w:t>
            </w:r>
            <w:r w:rsidDel="00000000" w:rsidR="00000000" w:rsidRPr="00000000">
              <w:rPr>
                <w:rtl w:val="0"/>
              </w:rPr>
            </w:r>
          </w:p>
        </w:tc>
        <w:tc>
          <w:tcPr>
            <w:tcBorders>
              <w:top w:color="cbd5e0" w:space="0" w:sz="4" w:val="single"/>
              <w:left w:color="cbd5e0" w:space="0" w:sz="4" w:val="single"/>
              <w:bottom w:color="cbd5e0" w:space="0" w:sz="4" w:val="single"/>
              <w:right w:color="cbd5e0" w:space="0" w:sz="4" w:val="single"/>
            </w:tcBorders>
            <w:tcMar>
              <w:top w:w="100.0" w:type="dxa"/>
              <w:left w:w="140.0" w:type="dxa"/>
              <w:bottom w:w="100.0" w:type="dxa"/>
              <w:right w:w="140.0" w:type="dxa"/>
            </w:tcMar>
            <w:vAlign w:val="center"/>
          </w:tcPr>
          <w:p w:rsidR="00000000" w:rsidDel="00000000" w:rsidP="00000000" w:rsidRDefault="00000000" w:rsidRPr="00000000" w14:paraId="00000038">
            <w:pPr>
              <w:spacing w:line="260" w:lineRule="auto"/>
              <w:rPr/>
            </w:pPr>
            <w:r w:rsidDel="00000000" w:rsidR="00000000" w:rsidRPr="00000000">
              <w:rPr>
                <w:color w:val="2d3748"/>
                <w:sz w:val="20"/>
                <w:szCs w:val="20"/>
                <w:rtl w:val="0"/>
              </w:rPr>
              <w:t xml:space="preserve">42% of companies abandoned at least one AI initiative in 2025 — up from 17% the year before. Average organization scrapped ~46% of AI POCs.</w:t>
            </w:r>
            <w:r w:rsidDel="00000000" w:rsidR="00000000" w:rsidRPr="00000000">
              <w:rPr>
                <w:rtl w:val="0"/>
              </w:rPr>
            </w:r>
          </w:p>
        </w:tc>
        <w:tc>
          <w:tcPr>
            <w:tcBorders>
              <w:top w:color="cbd5e0" w:space="0" w:sz="4" w:val="single"/>
              <w:left w:color="cbd5e0" w:space="0" w:sz="4" w:val="single"/>
              <w:bottom w:color="cbd5e0" w:space="0" w:sz="4" w:val="single"/>
              <w:right w:color="cbd5e0" w:space="0" w:sz="4" w:val="single"/>
            </w:tcBorders>
            <w:tcMar>
              <w:top w:w="100.0" w:type="dxa"/>
              <w:left w:w="140.0" w:type="dxa"/>
              <w:bottom w:w="100.0" w:type="dxa"/>
              <w:right w:w="140.0" w:type="dxa"/>
            </w:tcMar>
            <w:vAlign w:val="center"/>
          </w:tcPr>
          <w:p w:rsidR="00000000" w:rsidDel="00000000" w:rsidP="00000000" w:rsidRDefault="00000000" w:rsidRPr="00000000" w14:paraId="00000039">
            <w:pPr>
              <w:spacing w:line="260" w:lineRule="auto"/>
              <w:rPr/>
            </w:pPr>
            <w:r w:rsidDel="00000000" w:rsidR="00000000" w:rsidRPr="00000000">
              <w:rPr>
                <w:color w:val="2d3748"/>
                <w:sz w:val="20"/>
                <w:szCs w:val="20"/>
                <w:rtl w:val="0"/>
              </w:rPr>
              <w:t xml:space="preserve">Cross-industry market intelligence survey</w:t>
            </w:r>
            <w:r w:rsidDel="00000000" w:rsidR="00000000" w:rsidRPr="00000000">
              <w:rPr>
                <w:rtl w:val="0"/>
              </w:rPr>
            </w:r>
          </w:p>
        </w:tc>
      </w:tr>
      <w:tr>
        <w:trPr>
          <w:cantSplit w:val="0"/>
          <w:tblHeader w:val="0"/>
        </w:trPr>
        <w:tc>
          <w:tcPr>
            <w:tcBorders>
              <w:top w:color="cbd5e0" w:space="0" w:sz="4" w:val="single"/>
              <w:left w:color="cbd5e0" w:space="0" w:sz="4" w:val="single"/>
              <w:bottom w:color="cbd5e0" w:space="0" w:sz="4" w:val="single"/>
              <w:right w:color="cbd5e0" w:space="0" w:sz="4" w:val="single"/>
            </w:tcBorders>
            <w:shd w:fill="edf2f7" w:val="clear"/>
            <w:tcMar>
              <w:top w:w="100.0" w:type="dxa"/>
              <w:left w:w="140.0" w:type="dxa"/>
              <w:bottom w:w="100.0" w:type="dxa"/>
              <w:right w:w="140.0" w:type="dxa"/>
            </w:tcMar>
            <w:vAlign w:val="center"/>
          </w:tcPr>
          <w:p w:rsidR="00000000" w:rsidDel="00000000" w:rsidP="00000000" w:rsidRDefault="00000000" w:rsidRPr="00000000" w14:paraId="0000003A">
            <w:pPr>
              <w:spacing w:line="260" w:lineRule="auto"/>
              <w:rPr/>
            </w:pPr>
            <w:r w:rsidDel="00000000" w:rsidR="00000000" w:rsidRPr="00000000">
              <w:rPr>
                <w:b w:val="1"/>
                <w:bCs w:val="1"/>
                <w:color w:val="2d3748"/>
                <w:sz w:val="20"/>
                <w:szCs w:val="20"/>
                <w:rtl w:val="0"/>
              </w:rPr>
              <w:t xml:space="preserve">Gartner forecasts (2024–2026)</w:t>
            </w:r>
            <w:r w:rsidDel="00000000" w:rsidR="00000000" w:rsidRPr="00000000">
              <w:rPr>
                <w:rtl w:val="0"/>
              </w:rPr>
            </w:r>
          </w:p>
        </w:tc>
        <w:tc>
          <w:tcPr>
            <w:tcBorders>
              <w:top w:color="cbd5e0" w:space="0" w:sz="4" w:val="single"/>
              <w:left w:color="cbd5e0" w:space="0" w:sz="4" w:val="single"/>
              <w:bottom w:color="cbd5e0" w:space="0" w:sz="4" w:val="single"/>
              <w:right w:color="cbd5e0" w:space="0" w:sz="4" w:val="single"/>
            </w:tcBorders>
            <w:shd w:fill="edf2f7" w:val="clear"/>
            <w:tcMar>
              <w:top w:w="100.0" w:type="dxa"/>
              <w:left w:w="140.0" w:type="dxa"/>
              <w:bottom w:w="100.0" w:type="dxa"/>
              <w:right w:w="140.0" w:type="dxa"/>
            </w:tcMar>
            <w:vAlign w:val="center"/>
          </w:tcPr>
          <w:p w:rsidR="00000000" w:rsidDel="00000000" w:rsidP="00000000" w:rsidRDefault="00000000" w:rsidRPr="00000000" w14:paraId="0000003B">
            <w:pPr>
              <w:spacing w:line="260" w:lineRule="auto"/>
              <w:rPr/>
            </w:pPr>
            <w:r w:rsidDel="00000000" w:rsidR="00000000" w:rsidRPr="00000000">
              <w:rPr>
                <w:color w:val="2d3748"/>
                <w:sz w:val="20"/>
                <w:szCs w:val="20"/>
                <w:rtl w:val="0"/>
              </w:rPr>
              <w:t xml:space="preserve">30% of generative AI projects expected abandoned post-POC by end of 2025; 60% of AI projects without AI-ready data abandoned through 2026; &gt;40% of agentic AI projects expected canceled by 2027.</w:t>
            </w:r>
            <w:r w:rsidDel="00000000" w:rsidR="00000000" w:rsidRPr="00000000">
              <w:rPr>
                <w:rtl w:val="0"/>
              </w:rPr>
            </w:r>
          </w:p>
        </w:tc>
        <w:tc>
          <w:tcPr>
            <w:tcBorders>
              <w:top w:color="cbd5e0" w:space="0" w:sz="4" w:val="single"/>
              <w:left w:color="cbd5e0" w:space="0" w:sz="4" w:val="single"/>
              <w:bottom w:color="cbd5e0" w:space="0" w:sz="4" w:val="single"/>
              <w:right w:color="cbd5e0" w:space="0" w:sz="4" w:val="single"/>
            </w:tcBorders>
            <w:shd w:fill="edf2f7" w:val="clear"/>
            <w:tcMar>
              <w:top w:w="100.0" w:type="dxa"/>
              <w:left w:w="140.0" w:type="dxa"/>
              <w:bottom w:w="100.0" w:type="dxa"/>
              <w:right w:w="140.0" w:type="dxa"/>
            </w:tcMar>
            <w:vAlign w:val="center"/>
          </w:tcPr>
          <w:p w:rsidR="00000000" w:rsidDel="00000000" w:rsidP="00000000" w:rsidRDefault="00000000" w:rsidRPr="00000000" w14:paraId="0000003C">
            <w:pPr>
              <w:spacing w:line="260" w:lineRule="auto"/>
              <w:rPr/>
            </w:pPr>
            <w:r w:rsidDel="00000000" w:rsidR="00000000" w:rsidRPr="00000000">
              <w:rPr>
                <w:color w:val="2d3748"/>
                <w:sz w:val="20"/>
                <w:szCs w:val="20"/>
                <w:rtl w:val="0"/>
              </w:rPr>
              <w:t xml:space="preserve">Industry analyst forecasts based on inquiry pattern and survey data</w:t>
            </w:r>
            <w:r w:rsidDel="00000000" w:rsidR="00000000" w:rsidRPr="00000000">
              <w:rPr>
                <w:rtl w:val="0"/>
              </w:rPr>
            </w:r>
          </w:p>
        </w:tc>
      </w:tr>
    </w:tbl>
    <w:p w:rsidR="00000000" w:rsidDel="00000000" w:rsidP="00000000" w:rsidRDefault="00000000" w:rsidRPr="00000000" w14:paraId="0000003D">
      <w:pPr>
        <w:spacing w:after="120" w:line="260" w:lineRule="auto"/>
        <w:ind w:left="240" w:firstLine="0"/>
        <w:rPr/>
      </w:pPr>
      <w:r w:rsidDel="00000000" w:rsidR="00000000" w:rsidRPr="00000000">
        <w:rPr>
          <w:color w:val="718096"/>
          <w:sz w:val="18"/>
          <w:szCs w:val="18"/>
          <w:rtl w:val="0"/>
        </w:rPr>
        <w:t xml:space="preserve">Table 1. Convergent evidence on Applied AI failure rates, 2024–2026. Different methods, different samples, similar conclusions.</w:t>
      </w:r>
      <w:r w:rsidDel="00000000" w:rsidR="00000000" w:rsidRPr="00000000">
        <w:rPr>
          <w:rtl w:val="0"/>
        </w:rPr>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pStyle w:val="Heading3"/>
        <w:rPr/>
      </w:pPr>
      <w:r w:rsidDel="00000000" w:rsidR="00000000" w:rsidRPr="00000000">
        <w:rPr>
          <w:rtl w:val="0"/>
        </w:rPr>
        <w:t xml:space="preserve">A necessary caveat on the headline numbers</w:t>
      </w:r>
    </w:p>
    <w:p w:rsidR="00000000" w:rsidDel="00000000" w:rsidP="00000000" w:rsidRDefault="00000000" w:rsidRPr="00000000" w14:paraId="00000040">
      <w:pPr>
        <w:spacing w:after="160" w:before="80" w:line="300" w:lineRule="auto"/>
        <w:jc w:val="both"/>
        <w:rPr/>
      </w:pPr>
      <w:r w:rsidDel="00000000" w:rsidR="00000000" w:rsidRPr="00000000">
        <w:rPr>
          <w:color w:val="2d3748"/>
          <w:rtl w:val="0"/>
        </w:rPr>
        <w:t xml:space="preserve">The MIT NANDA "95% failure" figure has been challenged. Futuriom's August 2025 analysis criticized the report's methodology, arguing that the supporting exhibits do not unambiguously yield the headline conclusion and that the underlying data was not fully released. The critique is methodologically serious and worth keeping in view — but the directional finding is not load-bearing on any single study. RAND, BCG, McKinsey, S&amp;P Global, and Gartner all reach compatible conclusions with different methods. The reasonable reading: the precise percentage is uncertain; the existence of a large pilot-to-value gap is not.</w:t>
      </w:r>
      <w:r w:rsidDel="00000000" w:rsidR="00000000" w:rsidRPr="00000000">
        <w:rPr>
          <w:rtl w:val="0"/>
        </w:rPr>
      </w:r>
    </w:p>
    <w:p w:rsidR="00000000" w:rsidDel="00000000" w:rsidP="00000000" w:rsidRDefault="00000000" w:rsidRPr="00000000" w14:paraId="00000041">
      <w:pPr>
        <w:pStyle w:val="Heading2"/>
        <w:rPr/>
      </w:pPr>
      <w:r w:rsidDel="00000000" w:rsidR="00000000" w:rsidRPr="00000000">
        <w:rPr>
          <w:rtl w:val="0"/>
        </w:rPr>
        <w:t xml:space="preserve">2.2 Where Applied AI is working</w:t>
      </w:r>
    </w:p>
    <w:p w:rsidR="00000000" w:rsidDel="00000000" w:rsidP="00000000" w:rsidRDefault="00000000" w:rsidRPr="00000000" w14:paraId="00000042">
      <w:pPr>
        <w:spacing w:after="160" w:before="80" w:line="300" w:lineRule="auto"/>
        <w:jc w:val="both"/>
        <w:rPr/>
      </w:pPr>
      <w:r w:rsidDel="00000000" w:rsidR="00000000" w:rsidRPr="00000000">
        <w:rPr>
          <w:color w:val="2d3748"/>
          <w:rtl w:val="0"/>
        </w:rPr>
        <w:t xml:space="preserve">The same datasets that report widespread failure also identify a clear minority of organizations capturing real value. Their pattern is worth examining carefully because it informs the process creation discussion in Section 4.</w:t>
      </w:r>
      <w:r w:rsidDel="00000000" w:rsidR="00000000" w:rsidRPr="00000000">
        <w:rPr>
          <w:rtl w:val="0"/>
        </w:rPr>
      </w:r>
    </w:p>
    <w:p w:rsidR="00000000" w:rsidDel="00000000" w:rsidP="00000000" w:rsidRDefault="00000000" w:rsidRPr="00000000" w14:paraId="00000043">
      <w:pPr>
        <w:pStyle w:val="Heading3"/>
        <w:rPr/>
      </w:pPr>
      <w:r w:rsidDel="00000000" w:rsidR="00000000" w:rsidRPr="00000000">
        <w:rPr>
          <w:rtl w:val="0"/>
        </w:rPr>
        <w:t xml:space="preserve">Documented success cases at scale</w:t>
      </w:r>
    </w:p>
    <w:p w:rsidR="00000000" w:rsidDel="00000000" w:rsidP="00000000" w:rsidRDefault="00000000" w:rsidRPr="00000000" w14:paraId="0000004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1"/>
          <w:bCs w:val="1"/>
          <w:i w:val="0"/>
          <w:iCs w:val="0"/>
          <w:smallCaps w:val="0"/>
          <w:strike w:val="0"/>
          <w:color w:val="2d3748"/>
          <w:sz w:val="22"/>
          <w:szCs w:val="22"/>
          <w:u w:val="none"/>
          <w:shd w:fill="auto" w:val="clear"/>
          <w:vertAlign w:val="baseline"/>
          <w:rtl w:val="0"/>
        </w:rPr>
        <w:t xml:space="preserve">Michelin Group </w:t>
      </w: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(MIT Sloan Management Review, October 2025): more than 200 AI use cases spanning quality control, inventory, and predictive modeling. Group Chief Data and AI Officer Ambica Rajagopal reports &gt;€50 million annual ROI growing ~40% year-over-year. The discipline that distinguishes Michelin is a value-at-POC assessment with a post-deployment audit of actual value delivered.</w:t>
      </w:r>
      <w:r w:rsidDel="00000000" w:rsidR="00000000" w:rsidRPr="00000000">
        <w:rPr>
          <w:rtl w:val="0"/>
        </w:rPr>
      </w:r>
    </w:p>
    <w:p w:rsidR="00000000" w:rsidDel="00000000" w:rsidP="00000000" w:rsidRDefault="00000000" w:rsidRPr="00000000" w14:paraId="0000004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1"/>
          <w:bCs w:val="1"/>
          <w:i w:val="0"/>
          <w:iCs w:val="0"/>
          <w:smallCaps w:val="0"/>
          <w:strike w:val="0"/>
          <w:color w:val="2d3748"/>
          <w:sz w:val="22"/>
          <w:szCs w:val="22"/>
          <w:u w:val="none"/>
          <w:shd w:fill="auto" w:val="clear"/>
          <w:vertAlign w:val="baseline"/>
          <w:rtl w:val="0"/>
        </w:rPr>
        <w:t xml:space="preserve">Apollo Global Management </w:t>
      </w: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(MIT SMR, June 2025): portfolio-wide AI deployment, with Cengage cutting content production costs 40% and lead-gen costs 20%, Yahoo reporting &gt;20% engineering productivity from AI-generated code, and Univar Solutions achieving 30% improvements in target operational metrics.</w:t>
      </w:r>
      <w:r w:rsidDel="00000000" w:rsidR="00000000" w:rsidRPr="00000000">
        <w:rPr>
          <w:rtl w:val="0"/>
        </w:rPr>
      </w:r>
    </w:p>
    <w:p w:rsidR="00000000" w:rsidDel="00000000" w:rsidP="00000000" w:rsidRDefault="00000000" w:rsidRPr="00000000" w14:paraId="0000004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1"/>
          <w:bCs w:val="1"/>
          <w:i w:val="0"/>
          <w:iCs w:val="0"/>
          <w:smallCaps w:val="0"/>
          <w:strike w:val="0"/>
          <w:color w:val="2d3748"/>
          <w:sz w:val="22"/>
          <w:szCs w:val="22"/>
          <w:u w:val="none"/>
          <w:shd w:fill="auto" w:val="clear"/>
          <w:vertAlign w:val="baseline"/>
          <w:rtl w:val="0"/>
        </w:rPr>
        <w:t xml:space="preserve">Vanguard Group </w:t>
      </w: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(MIT Sloan, 2025): approximately $500 million in AI ROI attributed to specific use cases — call center support, personalized adviser summaries, and a documented 25% improvement in programming productivity.</w:t>
      </w:r>
      <w:r w:rsidDel="00000000" w:rsidR="00000000" w:rsidRPr="00000000">
        <w:rPr>
          <w:rtl w:val="0"/>
        </w:rPr>
      </w:r>
    </w:p>
    <w:p w:rsidR="00000000" w:rsidDel="00000000" w:rsidP="00000000" w:rsidRDefault="00000000" w:rsidRPr="00000000" w14:paraId="0000004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1"/>
          <w:bCs w:val="1"/>
          <w:i w:val="0"/>
          <w:iCs w:val="0"/>
          <w:smallCaps w:val="0"/>
          <w:strike w:val="0"/>
          <w:color w:val="2d3748"/>
          <w:sz w:val="22"/>
          <w:szCs w:val="22"/>
          <w:u w:val="none"/>
          <w:shd w:fill="auto" w:val="clear"/>
          <w:vertAlign w:val="baseline"/>
          <w:rtl w:val="0"/>
        </w:rPr>
        <w:t xml:space="preserve">Aitomatic / Llama-powered Domain Expert Agent </w:t>
      </w: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for an integrated circuit manufacturer (Meta case study, 2025): a Llama 3.1 70B model captures specialized expert knowledge and provides guidance to field engineers, addressing exactly the documentation-and-knowledge problem the field service industry has been struggling with for two decades.</w:t>
      </w:r>
      <w:r w:rsidDel="00000000" w:rsidR="00000000" w:rsidRPr="00000000">
        <w:rPr>
          <w:rtl w:val="0"/>
        </w:rPr>
      </w:r>
    </w:p>
    <w:p w:rsidR="00000000" w:rsidDel="00000000" w:rsidP="00000000" w:rsidRDefault="00000000" w:rsidRPr="00000000" w14:paraId="00000048">
      <w:pPr>
        <w:pStyle w:val="Heading3"/>
        <w:rPr/>
      </w:pPr>
      <w:r w:rsidDel="00000000" w:rsidR="00000000" w:rsidRPr="00000000">
        <w:rPr>
          <w:rtl w:val="0"/>
        </w:rPr>
        <w:t xml:space="preserve">The pattern beneath the cases</w:t>
      </w:r>
    </w:p>
    <w:p w:rsidR="00000000" w:rsidDel="00000000" w:rsidP="00000000" w:rsidRDefault="00000000" w:rsidRPr="00000000" w14:paraId="00000049">
      <w:pPr>
        <w:spacing w:after="160" w:before="80" w:line="300" w:lineRule="auto"/>
        <w:jc w:val="both"/>
        <w:rPr/>
      </w:pPr>
      <w:r w:rsidDel="00000000" w:rsidR="00000000" w:rsidRPr="00000000">
        <w:rPr>
          <w:color w:val="2d3748"/>
          <w:rtl w:val="0"/>
        </w:rPr>
        <w:t xml:space="preserve">MIT NANDA's analysis of the 5% that succeed identifies four recurring traits: buyers act "like BPO clients, not SaaS shoppers," demanding process-specific customization; tools are evaluated on business outcomes rather than software benchmarks; deployment focuses on back-office automation where ROI is documented to be stronger than the more visible sales/marketing pilots that consume disproportionate budget; and external partnerships succeed roughly twice as often as internal builds. McKinsey's high-performer profile aligns: ambitious objectives beyond cost cutting, fundamental workflow redesign, defined human-in-the-loop validation processes, and disciplined measurement of outcomes.</w:t>
      </w:r>
      <w:r w:rsidDel="00000000" w:rsidR="00000000" w:rsidRPr="00000000">
        <w:rPr>
          <w:rtl w:val="0"/>
        </w:rPr>
      </w:r>
    </w:p>
    <w:p w:rsidR="00000000" w:rsidDel="00000000" w:rsidP="00000000" w:rsidRDefault="00000000" w:rsidRPr="00000000" w14:paraId="0000004A">
      <w:pPr>
        <w:pBdr>
          <w:left w:color="2e75b6" w:space="8" w:sz="24" w:val="single"/>
        </w:pBdr>
        <w:shd w:fill="edf2f7" w:val="clear"/>
        <w:spacing w:after="200" w:before="120" w:lineRule="auto"/>
        <w:ind w:left="240" w:right="240" w:firstLine="0"/>
        <w:rPr/>
      </w:pPr>
      <w:r w:rsidDel="00000000" w:rsidR="00000000" w:rsidRPr="00000000">
        <w:rPr>
          <w:b w:val="1"/>
          <w:bCs w:val="1"/>
          <w:color w:val="2e75b6"/>
          <w:sz w:val="20"/>
          <w:szCs w:val="20"/>
          <w:rtl w:val="0"/>
        </w:rPr>
        <w:t xml:space="preserve">Practitioners note: </w:t>
      </w:r>
      <w:r w:rsidDel="00000000" w:rsidR="00000000" w:rsidRPr="00000000">
        <w:rPr>
          <w:color w:val="2d3748"/>
          <w:sz w:val="21"/>
          <w:szCs w:val="21"/>
          <w:rtl w:val="0"/>
        </w:rPr>
        <w:t xml:space="preserve">The cases that work share a structural feature: AI is embedded in a workflow that has been redesigned around it, not bolted onto a workflow designed for humans alone. This is the operational meaning of "transformation" — and it is precisely what RAND's first root cause warns against neglecting.</w:t>
      </w:r>
      <w:r w:rsidDel="00000000" w:rsidR="00000000" w:rsidRPr="00000000">
        <w:rPr>
          <w:rtl w:val="0"/>
        </w:rPr>
      </w:r>
    </w:p>
    <w:p w:rsidR="00000000" w:rsidDel="00000000" w:rsidP="00000000" w:rsidRDefault="00000000" w:rsidRPr="00000000" w14:paraId="0000004B">
      <w:pPr>
        <w:pStyle w:val="Heading1"/>
        <w:pBdr>
          <w:bottom w:color="1f3a5f" w:space="6" w:sz="12" w:val="single"/>
        </w:pBdr>
        <w:rPr/>
      </w:pPr>
      <w:r w:rsidDel="00000000" w:rsidR="00000000" w:rsidRPr="00000000">
        <w:rPr>
          <w:rtl w:val="0"/>
        </w:rPr>
        <w:t xml:space="preserve">3. Root Causes of Failure</w:t>
      </w:r>
    </w:p>
    <w:p w:rsidR="00000000" w:rsidDel="00000000" w:rsidP="00000000" w:rsidRDefault="00000000" w:rsidRPr="00000000" w14:paraId="0000004C">
      <w:pPr>
        <w:spacing w:after="160" w:before="80" w:line="300" w:lineRule="auto"/>
        <w:jc w:val="both"/>
        <w:rPr/>
      </w:pPr>
      <w:r w:rsidDel="00000000" w:rsidR="00000000" w:rsidRPr="00000000">
        <w:rPr>
          <w:color w:val="2d3748"/>
          <w:rtl w:val="0"/>
        </w:rPr>
        <w:t xml:space="preserve">The most rigorous public taxonomy of why Applied AI projects fail comes from RAND's 2024 report, The Root Causes of Failure for Artificial Intelligence Projects and How They Can Succeed (Ryseff, De Bruhl, and Newberry). The authors interviewed 65 data scientists and machine learning engineers with at least five years of experience and identified five recurring root causes.</w:t>
      </w:r>
      <w:r w:rsidDel="00000000" w:rsidR="00000000" w:rsidRPr="00000000">
        <w:rPr>
          <w:rtl w:val="0"/>
        </w:rPr>
      </w:r>
    </w:p>
    <w:p w:rsidR="00000000" w:rsidDel="00000000" w:rsidP="00000000" w:rsidRDefault="00000000" w:rsidRPr="00000000" w14:paraId="0000004D">
      <w:pPr>
        <w:pStyle w:val="Heading2"/>
        <w:rPr/>
      </w:pPr>
      <w:r w:rsidDel="00000000" w:rsidR="00000000" w:rsidRPr="00000000">
        <w:rPr>
          <w:rtl w:val="0"/>
        </w:rPr>
        <w:t xml:space="preserve">3.1 RAND's five root causes</w:t>
      </w:r>
    </w:p>
    <w:p w:rsidR="00000000" w:rsidDel="00000000" w:rsidP="00000000" w:rsidRDefault="00000000" w:rsidRPr="00000000" w14:paraId="0000004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60" w:before="40" w:line="280" w:lineRule="auto"/>
        <w:ind w:left="800" w:right="0" w:hanging="280"/>
        <w:jc w:val="left"/>
        <w:rPr/>
      </w:pPr>
      <w:r w:rsidDel="00000000" w:rsidR="00000000" w:rsidRPr="00000000">
        <w:rPr>
          <w:rFonts w:ascii="Calibri" w:cs="Calibri" w:eastAsia="Calibri" w:hAnsi="Calibri"/>
          <w:b w:val="1"/>
          <w:bCs w:val="1"/>
          <w:i w:val="0"/>
          <w:iCs w:val="0"/>
          <w:smallCaps w:val="0"/>
          <w:strike w:val="0"/>
          <w:color w:val="2d3748"/>
          <w:sz w:val="22"/>
          <w:szCs w:val="22"/>
          <w:u w:val="none"/>
          <w:shd w:fill="auto" w:val="clear"/>
          <w:vertAlign w:val="baseline"/>
          <w:rtl w:val="0"/>
        </w:rPr>
        <w:t xml:space="preserve">Misunderstanding or miscommunicating the problem. </w:t>
      </w: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Models are deployed against the wrong metric, or the right metric for the wrong workflow. RAND identifies this as the most common cause of failure. As the report puts it, "Misunderstandings and miscommunications about the intent and purpose of the project are the most common reasons for AI project failure."</w:t>
      </w:r>
      <w:r w:rsidDel="00000000" w:rsidR="00000000" w:rsidRPr="00000000">
        <w:rPr>
          <w:rtl w:val="0"/>
        </w:rPr>
      </w:r>
    </w:p>
    <w:p w:rsidR="00000000" w:rsidDel="00000000" w:rsidP="00000000" w:rsidRDefault="00000000" w:rsidRPr="00000000" w14:paraId="0000004F">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60" w:before="40" w:line="280" w:lineRule="auto"/>
        <w:ind w:left="800" w:right="0" w:hanging="280"/>
        <w:jc w:val="left"/>
        <w:rPr/>
      </w:pPr>
      <w:r w:rsidDel="00000000" w:rsidR="00000000" w:rsidRPr="00000000">
        <w:rPr>
          <w:rFonts w:ascii="Calibri" w:cs="Calibri" w:eastAsia="Calibri" w:hAnsi="Calibri"/>
          <w:b w:val="1"/>
          <w:bCs w:val="1"/>
          <w:i w:val="0"/>
          <w:iCs w:val="0"/>
          <w:smallCaps w:val="0"/>
          <w:strike w:val="0"/>
          <w:color w:val="2d3748"/>
          <w:sz w:val="22"/>
          <w:szCs w:val="22"/>
          <w:u w:val="none"/>
          <w:shd w:fill="auto" w:val="clear"/>
          <w:vertAlign w:val="baseline"/>
          <w:rtl w:val="0"/>
        </w:rPr>
        <w:t xml:space="preserve">Inadequate data to train an effective model. </w:t>
      </w: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Organizations frequently believe they have good data because they receive weekly reports, without recognizing that data fit-for-reporting is not the same as data fit-for-training. Gartner's definition of AI-ready data — aligned to use cases, governed at the asset level, supported by automated pipelines with quality gates — captures the gap.</w:t>
      </w:r>
      <w:r w:rsidDel="00000000" w:rsidR="00000000" w:rsidRPr="00000000">
        <w:rPr>
          <w:rtl w:val="0"/>
        </w:rPr>
      </w:r>
    </w:p>
    <w:p w:rsidR="00000000" w:rsidDel="00000000" w:rsidP="00000000" w:rsidRDefault="00000000" w:rsidRPr="00000000" w14:paraId="0000005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60" w:before="40" w:line="280" w:lineRule="auto"/>
        <w:ind w:left="800" w:right="0" w:hanging="280"/>
        <w:jc w:val="left"/>
        <w:rPr/>
      </w:pPr>
      <w:r w:rsidDel="00000000" w:rsidR="00000000" w:rsidRPr="00000000">
        <w:rPr>
          <w:rFonts w:ascii="Calibri" w:cs="Calibri" w:eastAsia="Calibri" w:hAnsi="Calibri"/>
          <w:b w:val="1"/>
          <w:bCs w:val="1"/>
          <w:i w:val="0"/>
          <w:iCs w:val="0"/>
          <w:smallCaps w:val="0"/>
          <w:strike w:val="0"/>
          <w:color w:val="2d3748"/>
          <w:sz w:val="22"/>
          <w:szCs w:val="22"/>
          <w:u w:val="none"/>
          <w:shd w:fill="auto" w:val="clear"/>
          <w:vertAlign w:val="baseline"/>
          <w:rtl w:val="0"/>
        </w:rPr>
        <w:t xml:space="preserve">Chasing the latest technology rather than solving the problem. </w:t>
      </w: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RAND specifically warns against pursuing state-of-the-art techniques for their own sake. Simpler, well-fit methods routinely outperform fashionable ones in production. The same anti-pattern appears in MIT NANDA's interviews, where executives describe vendor demos as "wrappers or science projects."</w:t>
      </w:r>
      <w:r w:rsidDel="00000000" w:rsidR="00000000" w:rsidRPr="00000000">
        <w:rPr>
          <w:rtl w:val="0"/>
        </w:rPr>
      </w:r>
    </w:p>
    <w:p w:rsidR="00000000" w:rsidDel="00000000" w:rsidP="00000000" w:rsidRDefault="00000000" w:rsidRPr="00000000" w14:paraId="0000005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60" w:before="40" w:line="280" w:lineRule="auto"/>
        <w:ind w:left="800" w:right="0" w:hanging="280"/>
        <w:jc w:val="left"/>
        <w:rPr/>
      </w:pPr>
      <w:r w:rsidDel="00000000" w:rsidR="00000000" w:rsidRPr="00000000">
        <w:rPr>
          <w:rFonts w:ascii="Calibri" w:cs="Calibri" w:eastAsia="Calibri" w:hAnsi="Calibri"/>
          <w:b w:val="1"/>
          <w:bCs w:val="1"/>
          <w:i w:val="0"/>
          <w:iCs w:val="0"/>
          <w:smallCaps w:val="0"/>
          <w:strike w:val="0"/>
          <w:color w:val="2d3748"/>
          <w:sz w:val="22"/>
          <w:szCs w:val="22"/>
          <w:u w:val="none"/>
          <w:shd w:fill="auto" w:val="clear"/>
          <w:vertAlign w:val="baseline"/>
          <w:rtl w:val="0"/>
        </w:rPr>
        <w:t xml:space="preserve">Inadequate infrastructure to manage data and deploy models. </w:t>
      </w: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This is the MLOps gap. Without versioning, monitoring, feature stores, and deployment automation, models that work in notebooks fail in production. The 2025 ScienceDirect systematic literature review of MLOps identified nine recurring best practices and eight common challenges; the most consistent failure mode is treating ML models as one-time artifacts rather than living systems.</w:t>
      </w:r>
      <w:r w:rsidDel="00000000" w:rsidR="00000000" w:rsidRPr="00000000">
        <w:rPr>
          <w:rtl w:val="0"/>
        </w:rPr>
      </w:r>
    </w:p>
    <w:p w:rsidR="00000000" w:rsidDel="00000000" w:rsidP="00000000" w:rsidRDefault="00000000" w:rsidRPr="00000000" w14:paraId="0000005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60" w:before="40" w:line="280" w:lineRule="auto"/>
        <w:ind w:left="800" w:right="0" w:hanging="280"/>
        <w:jc w:val="left"/>
        <w:rPr/>
      </w:pPr>
      <w:r w:rsidDel="00000000" w:rsidR="00000000" w:rsidRPr="00000000">
        <w:rPr>
          <w:rFonts w:ascii="Calibri" w:cs="Calibri" w:eastAsia="Calibri" w:hAnsi="Calibri"/>
          <w:b w:val="1"/>
          <w:bCs w:val="1"/>
          <w:i w:val="0"/>
          <w:iCs w:val="0"/>
          <w:smallCaps w:val="0"/>
          <w:strike w:val="0"/>
          <w:color w:val="2d3748"/>
          <w:sz w:val="22"/>
          <w:szCs w:val="22"/>
          <w:u w:val="none"/>
          <w:shd w:fill="auto" w:val="clear"/>
          <w:vertAlign w:val="baseline"/>
          <w:rtl w:val="0"/>
        </w:rPr>
        <w:t xml:space="preserve">Applying AI to problems that are too difficult. </w:t>
      </w: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Some problems are not yet - or not ever - well-suited to current AI techniques. RAND is blunt: "AI is not a magic wand that can make any challenging problem disappear." The Field Service Europe 2025 conference's recurring message - "AI succeeds only when built on reliable processes and data" - is a domain-specific version of the same warning.</w:t>
      </w:r>
      <w:r w:rsidDel="00000000" w:rsidR="00000000" w:rsidRPr="00000000">
        <w:rPr>
          <w:rtl w:val="0"/>
        </w:rPr>
      </w:r>
    </w:p>
    <w:p w:rsidR="00000000" w:rsidDel="00000000" w:rsidP="00000000" w:rsidRDefault="00000000" w:rsidRPr="00000000" w14:paraId="00000053">
      <w:pPr>
        <w:pStyle w:val="Heading2"/>
        <w:rPr/>
      </w:pPr>
      <w:r w:rsidDel="00000000" w:rsidR="00000000" w:rsidRPr="00000000">
        <w:rPr>
          <w:rtl w:val="0"/>
        </w:rPr>
        <w:t xml:space="preserve">3.2 The GenAI-specific failure mode: the learning gap</w:t>
      </w:r>
    </w:p>
    <w:p w:rsidR="00000000" w:rsidDel="00000000" w:rsidP="00000000" w:rsidRDefault="00000000" w:rsidRPr="00000000" w14:paraId="00000054">
      <w:pPr>
        <w:spacing w:after="160" w:before="80" w:line="300" w:lineRule="auto"/>
        <w:jc w:val="both"/>
        <w:rPr/>
      </w:pPr>
      <w:r w:rsidDel="00000000" w:rsidR="00000000" w:rsidRPr="00000000">
        <w:rPr>
          <w:color w:val="2d3748"/>
          <w:rtl w:val="0"/>
        </w:rPr>
        <w:t xml:space="preserve">MIT NANDA's central diagnostic for the generative AI era is what its authors call the learning gap. Even when a generative AI system performs well in a demo, it typically lacks three capabilities required for sustained enterprise value: persistent memory across sessions, ability to learn from feedback, and contextual adaptation to specific workflows. As one MIT NANDA interviewee summarized, the system "doesn't retain knowledge of client preferences or learn from previous edits. It repeats the same mistakes and requires extensive context input for each session." The report frames this as the single most important architectural deficit: "The core barrier to scaling is not infrastructure, regulation, or talent. It is learning."</w:t>
      </w:r>
      <w:r w:rsidDel="00000000" w:rsidR="00000000" w:rsidRPr="00000000">
        <w:rPr>
          <w:rtl w:val="0"/>
        </w:rPr>
      </w:r>
    </w:p>
    <w:p w:rsidR="00000000" w:rsidDel="00000000" w:rsidP="00000000" w:rsidRDefault="00000000" w:rsidRPr="00000000" w14:paraId="00000055">
      <w:pPr>
        <w:pStyle w:val="Heading2"/>
        <w:rPr/>
      </w:pPr>
      <w:r w:rsidDel="00000000" w:rsidR="00000000" w:rsidRPr="00000000">
        <w:rPr>
          <w:rtl w:val="0"/>
        </w:rPr>
        <w:t xml:space="preserve">3.3 The data foundation problem</w:t>
      </w:r>
    </w:p>
    <w:p w:rsidR="00000000" w:rsidDel="00000000" w:rsidP="00000000" w:rsidRDefault="00000000" w:rsidRPr="00000000" w14:paraId="00000056">
      <w:pPr>
        <w:spacing w:after="160" w:before="80" w:line="300" w:lineRule="auto"/>
        <w:jc w:val="both"/>
        <w:rPr/>
      </w:pPr>
      <w:r w:rsidDel="00000000" w:rsidR="00000000" w:rsidRPr="00000000">
        <w:rPr>
          <w:color w:val="2d3748"/>
          <w:rtl w:val="0"/>
        </w:rPr>
        <w:t xml:space="preserve">Informatica's 2025 CDO Insights survey, cited in multiple practitioner analyses, identified data quality and readiness (43%) and lack of technical maturity (43%) as the top obstacles to AI success — ahead of skills shortage (35%) and far ahead of algorithmic concerns, which did not make the top list. McKinsey's 2025 survey reinforces the same point: organizations reporting significant financial returns from AI are roughly twice as likely to have redesigned end-to-end data workflows before selecting modeling techniques. The lesson is that data readiness is not a precondition to be acknowledged and deferred; it is the foundation that determines whether the rest of the program is possible.</w:t>
      </w:r>
      <w:r w:rsidDel="00000000" w:rsidR="00000000" w:rsidRPr="00000000">
        <w:rPr>
          <w:rtl w:val="0"/>
        </w:rPr>
      </w:r>
    </w:p>
    <w:p w:rsidR="00000000" w:rsidDel="00000000" w:rsidP="00000000" w:rsidRDefault="00000000" w:rsidRPr="00000000" w14:paraId="00000057">
      <w:pPr>
        <w:rPr/>
      </w:pPr>
      <w:r w:rsidDel="00000000" w:rsidR="00000000" w:rsidRPr="00000000">
        <w:rPr>
          <w:rtl w:val="0"/>
        </w:rPr>
      </w:r>
    </w:p>
    <w:p w:rsidR="00000000" w:rsidDel="00000000" w:rsidP="00000000" w:rsidRDefault="00000000" w:rsidRPr="00000000" w14:paraId="00000058">
      <w:pPr>
        <w:pBdr>
          <w:left w:color="b7791f" w:space="8" w:sz="24" w:val="single"/>
        </w:pBdr>
        <w:shd w:fill="fff8e1" w:val="clear"/>
        <w:spacing w:after="200" w:before="120" w:lineRule="auto"/>
        <w:ind w:left="240" w:right="240" w:firstLine="0"/>
        <w:rPr/>
      </w:pPr>
      <w:r w:rsidDel="00000000" w:rsidR="00000000" w:rsidRPr="00000000">
        <w:rPr>
          <w:b w:val="1"/>
          <w:bCs w:val="1"/>
          <w:color w:val="b7791f"/>
          <w:sz w:val="20"/>
          <w:szCs w:val="20"/>
          <w:rtl w:val="0"/>
        </w:rPr>
        <w:t xml:space="preserve">Caution: </w:t>
      </w:r>
      <w:r w:rsidDel="00000000" w:rsidR="00000000" w:rsidRPr="00000000">
        <w:rPr>
          <w:color w:val="2d3748"/>
          <w:sz w:val="21"/>
          <w:szCs w:val="21"/>
          <w:rtl w:val="0"/>
        </w:rPr>
        <w:t xml:space="preserve">Data-cleaning projects approached as isolated remediations tend to fail for the same reasons the AI projects themselves fail. Cleaning data in a fragmented environment is, as one practitioner puts it, "like mopping the floor while the faucet is running." Data architecture and AI strategy need to be designed together.</w:t>
      </w:r>
      <w:r w:rsidDel="00000000" w:rsidR="00000000" w:rsidRPr="00000000">
        <w:rPr>
          <w:rtl w:val="0"/>
        </w:rPr>
      </w:r>
    </w:p>
    <w:p w:rsidR="00000000" w:rsidDel="00000000" w:rsidP="00000000" w:rsidRDefault="00000000" w:rsidRPr="00000000" w14:paraId="00000059">
      <w:pPr>
        <w:pStyle w:val="Heading1"/>
        <w:pBdr>
          <w:bottom w:color="1f3a5f" w:space="6" w:sz="12" w:val="single"/>
        </w:pBdr>
        <w:rPr/>
      </w:pPr>
      <w:r w:rsidDel="00000000" w:rsidR="00000000" w:rsidRPr="00000000">
        <w:rPr>
          <w:rtl w:val="0"/>
        </w:rPr>
        <w:t xml:space="preserve">4. Process Creation and Best Practices</w:t>
      </w:r>
    </w:p>
    <w:p w:rsidR="00000000" w:rsidDel="00000000" w:rsidP="00000000" w:rsidRDefault="00000000" w:rsidRPr="00000000" w14:paraId="0000005A">
      <w:pPr>
        <w:spacing w:after="160" w:before="80" w:line="300" w:lineRule="auto"/>
        <w:jc w:val="both"/>
        <w:rPr/>
      </w:pPr>
      <w:r w:rsidDel="00000000" w:rsidR="00000000" w:rsidRPr="00000000">
        <w:rPr>
          <w:color w:val="2d3748"/>
          <w:rtl w:val="0"/>
        </w:rPr>
        <w:t xml:space="preserve">The literature on what works in Applied AI converges on a small number of recurring practices. They appear under different names — McKinsey calls them the high-performer profile, RAND calls them principles for success, MIT SMR calls them the value-creation lens — but the underlying recommendations align.</w:t>
      </w:r>
      <w:r w:rsidDel="00000000" w:rsidR="00000000" w:rsidRPr="00000000">
        <w:rPr>
          <w:rtl w:val="0"/>
        </w:rPr>
      </w:r>
    </w:p>
    <w:p w:rsidR="00000000" w:rsidDel="00000000" w:rsidP="00000000" w:rsidRDefault="00000000" w:rsidRPr="00000000" w14:paraId="0000005B">
      <w:pPr>
        <w:pStyle w:val="Heading2"/>
        <w:rPr/>
      </w:pPr>
      <w:r w:rsidDel="00000000" w:rsidR="00000000" w:rsidRPr="00000000">
        <w:rPr>
          <w:rtl w:val="0"/>
        </w:rPr>
        <w:t xml:space="preserve">4.1 The dominant differentiator: workflow redesign</w:t>
      </w:r>
    </w:p>
    <w:p w:rsidR="00000000" w:rsidDel="00000000" w:rsidP="00000000" w:rsidRDefault="00000000" w:rsidRPr="00000000" w14:paraId="0000005C">
      <w:pPr>
        <w:spacing w:after="160" w:before="80" w:line="300" w:lineRule="auto"/>
        <w:jc w:val="both"/>
        <w:rPr/>
      </w:pPr>
      <w:r w:rsidDel="00000000" w:rsidR="00000000" w:rsidRPr="00000000">
        <w:rPr>
          <w:color w:val="2d3748"/>
          <w:rtl w:val="0"/>
        </w:rPr>
        <w:t xml:space="preserve">Of all the variables McKinsey tested for explanatory power on EBIT impact, fundamental workflow redesign ranks first. High performers are roughly 2.8x more likely than other organizations to have undertaken it. Yet in McKinsey's 2025 data, only about 21% of organizations using generative AI report having redesigned at least some workflows; the remaining 79% are layering AI on top of processes designed for human-only operation. That layering pattern is the structural cause of the use-case-level value that fails to aggregate to enterprise-wide EBIT impact.</w:t>
      </w:r>
      <w:r w:rsidDel="00000000" w:rsidR="00000000" w:rsidRPr="00000000">
        <w:rPr>
          <w:rtl w:val="0"/>
        </w:rPr>
      </w:r>
    </w:p>
    <w:p w:rsidR="00000000" w:rsidDel="00000000" w:rsidP="00000000" w:rsidRDefault="00000000" w:rsidRPr="00000000" w14:paraId="0000005D">
      <w:pPr>
        <w:spacing w:after="160" w:before="80" w:line="300" w:lineRule="auto"/>
        <w:jc w:val="both"/>
        <w:rPr/>
      </w:pPr>
      <w:r w:rsidDel="00000000" w:rsidR="00000000" w:rsidRPr="00000000">
        <w:rPr>
          <w:color w:val="2d3748"/>
          <w:rtl w:val="0"/>
        </w:rPr>
        <w:t xml:space="preserve">What redesign means in practice, drawing on the Customer Experience and engineering case literature: redefining what "resolution" or "completion" means in each journey; designing clean escalation paths and stop conditions for AI–human handoff; structuring knowledge and policy so the AI has ground truth to retrieve against; rebuilding interfaces so humans handle exceptions rather than repetition; and re-instrumenting measurement around the new flow rather than the old one.</w:t>
      </w:r>
      <w:r w:rsidDel="00000000" w:rsidR="00000000" w:rsidRPr="00000000">
        <w:rPr>
          <w:rtl w:val="0"/>
        </w:rPr>
      </w:r>
    </w:p>
    <w:p w:rsidR="00000000" w:rsidDel="00000000" w:rsidP="00000000" w:rsidRDefault="00000000" w:rsidRPr="00000000" w14:paraId="0000005E">
      <w:pPr>
        <w:pStyle w:val="Heading2"/>
        <w:rPr/>
      </w:pPr>
      <w:r w:rsidDel="00000000" w:rsidR="00000000" w:rsidRPr="00000000">
        <w:rPr>
          <w:rtl w:val="0"/>
        </w:rPr>
        <w:t xml:space="preserve">4.2 Problem-first methodology</w:t>
      </w:r>
    </w:p>
    <w:p w:rsidR="00000000" w:rsidDel="00000000" w:rsidP="00000000" w:rsidRDefault="00000000" w:rsidRPr="00000000" w14:paraId="0000005F">
      <w:pPr>
        <w:spacing w:after="160" w:before="80" w:line="300" w:lineRule="auto"/>
        <w:jc w:val="both"/>
        <w:rPr/>
      </w:pPr>
      <w:r w:rsidDel="00000000" w:rsidR="00000000" w:rsidRPr="00000000">
        <w:rPr>
          <w:color w:val="2d3748"/>
          <w:rtl w:val="0"/>
        </w:rPr>
        <w:t xml:space="preserve">RAND's two most-cited recommendations are deceptively simple: "ensure that technical staff understand the project purpose and domain context" and "focus on the problem, not the technology." The Field Service Europe 2025 consensus reaches the same point from a different direction: "AI succeeds only when built on reliable processes and data." Across the literature, problem-first methodology typically includes:</w:t>
      </w:r>
      <w:r w:rsidDel="00000000" w:rsidR="00000000" w:rsidRPr="00000000">
        <w:rPr>
          <w:rtl w:val="0"/>
        </w:rPr>
      </w:r>
    </w:p>
    <w:p w:rsidR="00000000" w:rsidDel="00000000" w:rsidP="00000000" w:rsidRDefault="00000000" w:rsidRPr="00000000" w14:paraId="0000006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A written problem statement validated jointly by business and technical leads before any modeling work begins. RAND treats this as the single highest-leverage control.</w:t>
      </w:r>
      <w:r w:rsidDel="00000000" w:rsidR="00000000" w:rsidRPr="00000000">
        <w:rPr>
          <w:rtl w:val="0"/>
        </w:rPr>
      </w:r>
    </w:p>
    <w:p w:rsidR="00000000" w:rsidDel="00000000" w:rsidP="00000000" w:rsidRDefault="00000000" w:rsidRPr="00000000" w14:paraId="0000006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Outcome-based AI objectives - "improve first-call resolution by X points," "reduce mean time to diagnosis by Y minutes” rather than activity-based objectives like "deploy AI in service."</w:t>
      </w:r>
      <w:r w:rsidDel="00000000" w:rsidR="00000000" w:rsidRPr="00000000">
        <w:rPr>
          <w:rtl w:val="0"/>
        </w:rPr>
      </w:r>
    </w:p>
    <w:p w:rsidR="00000000" w:rsidDel="00000000" w:rsidP="00000000" w:rsidRDefault="00000000" w:rsidRPr="00000000" w14:paraId="0000006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Pilot-stage value assessment with explicit gating criteria. Michelin's POC-stage value scoring with post-deployment audit is the cleanest documented example.</w:t>
      </w:r>
      <w:r w:rsidDel="00000000" w:rsidR="00000000" w:rsidRPr="00000000">
        <w:rPr>
          <w:rtl w:val="0"/>
        </w:rPr>
      </w:r>
    </w:p>
    <w:p w:rsidR="00000000" w:rsidDel="00000000" w:rsidP="00000000" w:rsidRDefault="00000000" w:rsidRPr="00000000" w14:paraId="0000006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Long-horizon commitment. RAND recommends being prepared to commit a product team to a single problem for at least a year. "If an AI project is not worth such a long-term commitment, it most likely is not worth committing to at all."</w:t>
      </w:r>
      <w:r w:rsidDel="00000000" w:rsidR="00000000" w:rsidRPr="00000000">
        <w:rPr>
          <w:rtl w:val="0"/>
        </w:rPr>
      </w:r>
    </w:p>
    <w:p w:rsidR="00000000" w:rsidDel="00000000" w:rsidP="00000000" w:rsidRDefault="00000000" w:rsidRPr="00000000" w14:paraId="00000064">
      <w:pPr>
        <w:pStyle w:val="Heading2"/>
        <w:rPr/>
      </w:pPr>
      <w:r w:rsidDel="00000000" w:rsidR="00000000" w:rsidRPr="00000000">
        <w:rPr>
          <w:rtl w:val="0"/>
        </w:rPr>
        <w:t xml:space="preserve">4.3 Human-in-the-loop as a designed control</w:t>
      </w:r>
    </w:p>
    <w:p w:rsidR="00000000" w:rsidDel="00000000" w:rsidP="00000000" w:rsidRDefault="00000000" w:rsidRPr="00000000" w14:paraId="00000065">
      <w:pPr>
        <w:spacing w:after="160" w:before="80" w:line="300" w:lineRule="auto"/>
        <w:jc w:val="both"/>
        <w:rPr/>
      </w:pPr>
      <w:r w:rsidDel="00000000" w:rsidR="00000000" w:rsidRPr="00000000">
        <w:rPr>
          <w:color w:val="2d3748"/>
          <w:rtl w:val="0"/>
        </w:rPr>
        <w:t xml:space="preserve">McKinsey's 2025 data reports that AI high performers are nearly three times more likely than other organizations to have defined processes that determine how and when model outputs need human validation: 65% of high performers versus 23% of others. The shift in framing matters - human-in-the-loop is not a fallback for inadequate models but a designed control surface that allows the system to operate confidently within its competence and escalate cleanly outside it. This is particularly relevant in regulated and high-consequence settings: medical diagnosis, financial risk decisions, safety-critical industrial diagnostics.</w:t>
      </w:r>
      <w:r w:rsidDel="00000000" w:rsidR="00000000" w:rsidRPr="00000000">
        <w:rPr>
          <w:rtl w:val="0"/>
        </w:rPr>
      </w:r>
    </w:p>
    <w:p w:rsidR="00000000" w:rsidDel="00000000" w:rsidP="00000000" w:rsidRDefault="00000000" w:rsidRPr="00000000" w14:paraId="00000066">
      <w:pPr>
        <w:pStyle w:val="Heading2"/>
        <w:rPr/>
      </w:pPr>
      <w:r w:rsidDel="00000000" w:rsidR="00000000" w:rsidRPr="00000000">
        <w:rPr>
          <w:rtl w:val="0"/>
        </w:rPr>
        <w:t xml:space="preserve">4.4 The MIT NANDA buyer-side playbook</w:t>
      </w:r>
    </w:p>
    <w:p w:rsidR="00000000" w:rsidDel="00000000" w:rsidP="00000000" w:rsidRDefault="00000000" w:rsidRPr="00000000" w14:paraId="00000067">
      <w:pPr>
        <w:spacing w:after="160" w:before="80" w:line="300" w:lineRule="auto"/>
        <w:jc w:val="both"/>
        <w:rPr/>
      </w:pPr>
      <w:r w:rsidDel="00000000" w:rsidR="00000000" w:rsidRPr="00000000">
        <w:rPr>
          <w:color w:val="2d3748"/>
          <w:rtl w:val="0"/>
        </w:rPr>
        <w:t xml:space="preserve">MIT NANDA's analysis of the successful 5% offers a usable buyer-side playbook for Applied AI, summarized as follows:</w:t>
      </w:r>
      <w:r w:rsidDel="00000000" w:rsidR="00000000" w:rsidRPr="00000000">
        <w:rPr>
          <w:rtl w:val="0"/>
        </w:rPr>
      </w:r>
    </w:p>
    <w:p w:rsidR="00000000" w:rsidDel="00000000" w:rsidP="00000000" w:rsidRDefault="00000000" w:rsidRPr="00000000" w14:paraId="0000006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1"/>
          <w:bCs w:val="1"/>
          <w:i w:val="0"/>
          <w:iCs w:val="0"/>
          <w:smallCaps w:val="0"/>
          <w:strike w:val="0"/>
          <w:color w:val="2d3748"/>
          <w:sz w:val="22"/>
          <w:szCs w:val="22"/>
          <w:u w:val="none"/>
          <w:shd w:fill="auto" w:val="clear"/>
          <w:vertAlign w:val="baseline"/>
          <w:rtl w:val="0"/>
        </w:rPr>
        <w:t xml:space="preserve">Buy like a BPO client, not a SaaS shopper. </w:t>
      </w: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Demand process-specific customization, deep integration, and operational SLAs. Evaluate business outcomes, not feature benchmarks.</w:t>
      </w:r>
      <w:r w:rsidDel="00000000" w:rsidR="00000000" w:rsidRPr="00000000">
        <w:rPr>
          <w:rtl w:val="0"/>
        </w:rPr>
      </w:r>
    </w:p>
    <w:p w:rsidR="00000000" w:rsidDel="00000000" w:rsidP="00000000" w:rsidRDefault="00000000" w:rsidRPr="00000000" w14:paraId="0000006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1"/>
          <w:bCs w:val="1"/>
          <w:i w:val="0"/>
          <w:iCs w:val="0"/>
          <w:smallCaps w:val="0"/>
          <w:strike w:val="0"/>
          <w:color w:val="2d3748"/>
          <w:sz w:val="22"/>
          <w:szCs w:val="22"/>
          <w:u w:val="none"/>
          <w:shd w:fill="auto" w:val="clear"/>
          <w:vertAlign w:val="baseline"/>
          <w:rtl w:val="0"/>
        </w:rPr>
        <w:t xml:space="preserve">Partner externally. </w:t>
      </w: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External partnerships succeed roughly twice as often as fully internal builds, particularly for specialized capabilities. The high-performing pattern is internal owners + external builders + clear contractual outcome metrics.</w:t>
      </w:r>
      <w:r w:rsidDel="00000000" w:rsidR="00000000" w:rsidRPr="00000000">
        <w:rPr>
          <w:rtl w:val="0"/>
        </w:rPr>
      </w:r>
    </w:p>
    <w:p w:rsidR="00000000" w:rsidDel="00000000" w:rsidP="00000000" w:rsidRDefault="00000000" w:rsidRPr="00000000" w14:paraId="0000006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1"/>
          <w:bCs w:val="1"/>
          <w:i w:val="0"/>
          <w:iCs w:val="0"/>
          <w:smallCaps w:val="0"/>
          <w:strike w:val="0"/>
          <w:color w:val="2d3748"/>
          <w:sz w:val="22"/>
          <w:szCs w:val="22"/>
          <w:u w:val="none"/>
          <w:shd w:fill="auto" w:val="clear"/>
          <w:vertAlign w:val="baseline"/>
          <w:rtl w:val="0"/>
        </w:rPr>
        <w:t xml:space="preserve">Adopt bottom-up. </w:t>
      </w: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The strongest signal in the report is that employee-driven, workflow-attached adoption outperforms top-down rollouts. Shadow AI is treated as evidence of demand to be channeled, not punished.</w:t>
      </w:r>
      <w:r w:rsidDel="00000000" w:rsidR="00000000" w:rsidRPr="00000000">
        <w:rPr>
          <w:rtl w:val="0"/>
        </w:rPr>
      </w:r>
    </w:p>
    <w:p w:rsidR="00000000" w:rsidDel="00000000" w:rsidP="00000000" w:rsidRDefault="00000000" w:rsidRPr="00000000" w14:paraId="0000006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1"/>
          <w:bCs w:val="1"/>
          <w:i w:val="0"/>
          <w:iCs w:val="0"/>
          <w:smallCaps w:val="0"/>
          <w:strike w:val="0"/>
          <w:color w:val="2d3748"/>
          <w:sz w:val="22"/>
          <w:szCs w:val="22"/>
          <w:u w:val="none"/>
          <w:shd w:fill="auto" w:val="clear"/>
          <w:vertAlign w:val="baseline"/>
          <w:rtl w:val="0"/>
        </w:rPr>
        <w:t xml:space="preserve">Invest where ROI is documented. </w:t>
      </w: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Back-office automation routinely outperforms the higher-profile sales and marketing use cases but receives a fraction of the budget. The misallocation is one of NANDA's clearer findings.</w:t>
      </w:r>
      <w:r w:rsidDel="00000000" w:rsidR="00000000" w:rsidRPr="00000000">
        <w:rPr>
          <w:rtl w:val="0"/>
        </w:rPr>
      </w:r>
    </w:p>
    <w:p w:rsidR="00000000" w:rsidDel="00000000" w:rsidP="00000000" w:rsidRDefault="00000000" w:rsidRPr="00000000" w14:paraId="0000006C">
      <w:pPr>
        <w:pStyle w:val="Heading2"/>
        <w:rPr/>
      </w:pPr>
      <w:r w:rsidDel="00000000" w:rsidR="00000000" w:rsidRPr="00000000">
        <w:rPr>
          <w:rtl w:val="0"/>
        </w:rPr>
        <w:t xml:space="preserve">4.5 Measurement and KPIs</w:t>
      </w:r>
    </w:p>
    <w:p w:rsidR="00000000" w:rsidDel="00000000" w:rsidP="00000000" w:rsidRDefault="00000000" w:rsidRPr="00000000" w14:paraId="0000006D">
      <w:pPr>
        <w:spacing w:after="160" w:before="80" w:line="300" w:lineRule="auto"/>
        <w:jc w:val="both"/>
        <w:rPr/>
      </w:pPr>
      <w:r w:rsidDel="00000000" w:rsidR="00000000" w:rsidRPr="00000000">
        <w:rPr>
          <w:color w:val="2d3748"/>
          <w:rtl w:val="0"/>
        </w:rPr>
        <w:t xml:space="preserve">Across MIT Sloan, McKinsey, and BCG analyses, the practical KPI structure that supports Applied AI programs has three layers: leading indicators of adoption and engagement (active users, sessions, completion rates); quality indicators that capture model and process performance (accuracy, hallucination rate, escalation rate, time-to-resolution); and business KPIs that connect to revenue, cost, satisfaction, or cycle time. The McKinsey finding is blunt: "Scaling without metrics is where programs stall." Where measurement exists, value realization rises and risk incidents fall.</w:t>
      </w:r>
      <w:r w:rsidDel="00000000" w:rsidR="00000000" w:rsidRPr="00000000">
        <w:rPr>
          <w:rtl w:val="0"/>
        </w:rPr>
      </w:r>
    </w:p>
    <w:p w:rsidR="00000000" w:rsidDel="00000000" w:rsidP="00000000" w:rsidRDefault="00000000" w:rsidRPr="00000000" w14:paraId="0000006E">
      <w:pPr>
        <w:pStyle w:val="Heading1"/>
        <w:pBdr>
          <w:bottom w:color="1f3a5f" w:space="6" w:sz="12" w:val="single"/>
        </w:pBdr>
        <w:rPr/>
      </w:pPr>
      <w:r w:rsidDel="00000000" w:rsidR="00000000" w:rsidRPr="00000000">
        <w:rPr>
          <w:rtl w:val="0"/>
        </w:rPr>
        <w:t xml:space="preserve">5. Industry Support and Governance</w:t>
      </w:r>
    </w:p>
    <w:p w:rsidR="00000000" w:rsidDel="00000000" w:rsidP="00000000" w:rsidRDefault="00000000" w:rsidRPr="00000000" w14:paraId="0000006F">
      <w:pPr>
        <w:spacing w:after="160" w:before="80" w:line="300" w:lineRule="auto"/>
        <w:jc w:val="both"/>
        <w:rPr/>
      </w:pPr>
      <w:r w:rsidDel="00000000" w:rsidR="00000000" w:rsidRPr="00000000">
        <w:rPr>
          <w:color w:val="2d3748"/>
          <w:rtl w:val="0"/>
        </w:rPr>
        <w:t xml:space="preserve">Three frameworks now dominate enterprise AI governance conversations. They were developed by different bodies for different purposes, but mature programs treat them as a triangulated stack rather than alternatives.</w:t>
      </w:r>
      <w:r w:rsidDel="00000000" w:rsidR="00000000" w:rsidRPr="00000000">
        <w:rPr>
          <w:rtl w:val="0"/>
        </w:rPr>
      </w:r>
    </w:p>
    <w:tbl>
      <w:tblPr>
        <w:tblStyle w:val="Table2"/>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00"/>
        <w:gridCol w:w="2400"/>
        <w:gridCol w:w="2400"/>
        <w:gridCol w:w="2360"/>
        <w:tblGridChange w:id="0">
          <w:tblGrid>
            <w:gridCol w:w="2200"/>
            <w:gridCol w:w="2400"/>
            <w:gridCol w:w="2400"/>
            <w:gridCol w:w="2360"/>
          </w:tblGrid>
        </w:tblGridChange>
      </w:tblGrid>
      <w:tr>
        <w:trPr>
          <w:cantSplit w:val="0"/>
          <w:tblHeader w:val="1"/>
        </w:trPr>
        <w:tc>
          <w:tcPr>
            <w:tcBorders>
              <w:top w:color="cbd5e0" w:space="0" w:sz="4" w:val="single"/>
              <w:left w:color="cbd5e0" w:space="0" w:sz="4" w:val="single"/>
              <w:bottom w:color="cbd5e0" w:space="0" w:sz="4" w:val="single"/>
              <w:right w:color="cbd5e0" w:space="0" w:sz="4" w:val="single"/>
            </w:tcBorders>
            <w:shd w:fill="1f3a5f" w:val="clear"/>
            <w:tcMar>
              <w:top w:w="100.0" w:type="dxa"/>
              <w:left w:w="140.0" w:type="dxa"/>
              <w:bottom w:w="100.0" w:type="dxa"/>
              <w:right w:w="140.0" w:type="dxa"/>
            </w:tcMar>
            <w:vAlign w:val="center"/>
          </w:tcPr>
          <w:p w:rsidR="00000000" w:rsidDel="00000000" w:rsidP="00000000" w:rsidRDefault="00000000" w:rsidRPr="00000000" w14:paraId="00000070">
            <w:pPr>
              <w:spacing w:line="260" w:lineRule="auto"/>
              <w:rPr/>
            </w:pPr>
            <w:r w:rsidDel="00000000" w:rsidR="00000000" w:rsidRPr="00000000">
              <w:rPr>
                <w:b w:val="1"/>
                <w:bCs w:val="1"/>
                <w:color w:val="ffffff"/>
                <w:sz w:val="20"/>
                <w:szCs w:val="20"/>
                <w:rtl w:val="0"/>
              </w:rPr>
              <w:t xml:space="preserve">Dimension</w:t>
            </w:r>
            <w:r w:rsidDel="00000000" w:rsidR="00000000" w:rsidRPr="00000000">
              <w:rPr>
                <w:rtl w:val="0"/>
              </w:rPr>
            </w:r>
          </w:p>
        </w:tc>
        <w:tc>
          <w:tcPr>
            <w:tcBorders>
              <w:top w:color="cbd5e0" w:space="0" w:sz="4" w:val="single"/>
              <w:left w:color="cbd5e0" w:space="0" w:sz="4" w:val="single"/>
              <w:bottom w:color="cbd5e0" w:space="0" w:sz="4" w:val="single"/>
              <w:right w:color="cbd5e0" w:space="0" w:sz="4" w:val="single"/>
            </w:tcBorders>
            <w:shd w:fill="1f3a5f" w:val="clear"/>
            <w:tcMar>
              <w:top w:w="100.0" w:type="dxa"/>
              <w:left w:w="140.0" w:type="dxa"/>
              <w:bottom w:w="100.0" w:type="dxa"/>
              <w:right w:w="140.0" w:type="dxa"/>
            </w:tcMar>
            <w:vAlign w:val="center"/>
          </w:tcPr>
          <w:p w:rsidR="00000000" w:rsidDel="00000000" w:rsidP="00000000" w:rsidRDefault="00000000" w:rsidRPr="00000000" w14:paraId="00000071">
            <w:pPr>
              <w:spacing w:line="260" w:lineRule="auto"/>
              <w:rPr/>
            </w:pPr>
            <w:r w:rsidDel="00000000" w:rsidR="00000000" w:rsidRPr="00000000">
              <w:rPr>
                <w:b w:val="1"/>
                <w:bCs w:val="1"/>
                <w:color w:val="ffffff"/>
                <w:sz w:val="20"/>
                <w:szCs w:val="20"/>
                <w:rtl w:val="0"/>
              </w:rPr>
              <w:t xml:space="preserve">NIST AI RMF</w:t>
            </w:r>
            <w:r w:rsidDel="00000000" w:rsidR="00000000" w:rsidRPr="00000000">
              <w:rPr>
                <w:rtl w:val="0"/>
              </w:rPr>
            </w:r>
          </w:p>
        </w:tc>
        <w:tc>
          <w:tcPr>
            <w:tcBorders>
              <w:top w:color="cbd5e0" w:space="0" w:sz="4" w:val="single"/>
              <w:left w:color="cbd5e0" w:space="0" w:sz="4" w:val="single"/>
              <w:bottom w:color="cbd5e0" w:space="0" w:sz="4" w:val="single"/>
              <w:right w:color="cbd5e0" w:space="0" w:sz="4" w:val="single"/>
            </w:tcBorders>
            <w:shd w:fill="1f3a5f" w:val="clear"/>
            <w:tcMar>
              <w:top w:w="100.0" w:type="dxa"/>
              <w:left w:w="140.0" w:type="dxa"/>
              <w:bottom w:w="100.0" w:type="dxa"/>
              <w:right w:w="140.0" w:type="dxa"/>
            </w:tcMar>
            <w:vAlign w:val="center"/>
          </w:tcPr>
          <w:p w:rsidR="00000000" w:rsidDel="00000000" w:rsidP="00000000" w:rsidRDefault="00000000" w:rsidRPr="00000000" w14:paraId="00000072">
            <w:pPr>
              <w:spacing w:line="260" w:lineRule="auto"/>
              <w:rPr/>
            </w:pPr>
            <w:r w:rsidDel="00000000" w:rsidR="00000000" w:rsidRPr="00000000">
              <w:rPr>
                <w:b w:val="1"/>
                <w:bCs w:val="1"/>
                <w:color w:val="ffffff"/>
                <w:sz w:val="20"/>
                <w:szCs w:val="20"/>
                <w:rtl w:val="0"/>
              </w:rPr>
              <w:t xml:space="preserve">ISO/IEC 42001</w:t>
            </w:r>
            <w:r w:rsidDel="00000000" w:rsidR="00000000" w:rsidRPr="00000000">
              <w:rPr>
                <w:rtl w:val="0"/>
              </w:rPr>
            </w:r>
          </w:p>
        </w:tc>
        <w:tc>
          <w:tcPr>
            <w:tcBorders>
              <w:top w:color="cbd5e0" w:space="0" w:sz="4" w:val="single"/>
              <w:left w:color="cbd5e0" w:space="0" w:sz="4" w:val="single"/>
              <w:bottom w:color="cbd5e0" w:space="0" w:sz="4" w:val="single"/>
              <w:right w:color="cbd5e0" w:space="0" w:sz="4" w:val="single"/>
            </w:tcBorders>
            <w:shd w:fill="1f3a5f" w:val="clear"/>
            <w:tcMar>
              <w:top w:w="100.0" w:type="dxa"/>
              <w:left w:w="140.0" w:type="dxa"/>
              <w:bottom w:w="100.0" w:type="dxa"/>
              <w:right w:w="140.0" w:type="dxa"/>
            </w:tcMar>
            <w:vAlign w:val="center"/>
          </w:tcPr>
          <w:p w:rsidR="00000000" w:rsidDel="00000000" w:rsidP="00000000" w:rsidRDefault="00000000" w:rsidRPr="00000000" w14:paraId="00000073">
            <w:pPr>
              <w:spacing w:line="260" w:lineRule="auto"/>
              <w:rPr/>
            </w:pPr>
            <w:r w:rsidDel="00000000" w:rsidR="00000000" w:rsidRPr="00000000">
              <w:rPr>
                <w:b w:val="1"/>
                <w:bCs w:val="1"/>
                <w:color w:val="ffffff"/>
                <w:sz w:val="20"/>
                <w:szCs w:val="20"/>
                <w:rtl w:val="0"/>
              </w:rPr>
              <w:t xml:space="preserve">EU AI Act</w:t>
            </w:r>
            <w:r w:rsidDel="00000000" w:rsidR="00000000" w:rsidRPr="00000000">
              <w:rPr>
                <w:rtl w:val="0"/>
              </w:rPr>
            </w:r>
          </w:p>
        </w:tc>
      </w:tr>
      <w:tr>
        <w:trPr>
          <w:cantSplit w:val="0"/>
          <w:tblHeader w:val="0"/>
        </w:trPr>
        <w:tc>
          <w:tcPr>
            <w:tcBorders>
              <w:top w:color="cbd5e0" w:space="0" w:sz="4" w:val="single"/>
              <w:left w:color="cbd5e0" w:space="0" w:sz="4" w:val="single"/>
              <w:bottom w:color="cbd5e0" w:space="0" w:sz="4" w:val="single"/>
              <w:right w:color="cbd5e0" w:space="0" w:sz="4" w:val="single"/>
            </w:tcBorders>
            <w:shd w:fill="edf2f7" w:val="clear"/>
            <w:tcMar>
              <w:top w:w="100.0" w:type="dxa"/>
              <w:left w:w="140.0" w:type="dxa"/>
              <w:bottom w:w="100.0" w:type="dxa"/>
              <w:right w:w="140.0" w:type="dxa"/>
            </w:tcMar>
            <w:vAlign w:val="center"/>
          </w:tcPr>
          <w:p w:rsidR="00000000" w:rsidDel="00000000" w:rsidP="00000000" w:rsidRDefault="00000000" w:rsidRPr="00000000" w14:paraId="00000074">
            <w:pPr>
              <w:spacing w:line="260" w:lineRule="auto"/>
              <w:rPr/>
            </w:pPr>
            <w:r w:rsidDel="00000000" w:rsidR="00000000" w:rsidRPr="00000000">
              <w:rPr>
                <w:b w:val="1"/>
                <w:bCs w:val="1"/>
                <w:color w:val="2d3748"/>
                <w:sz w:val="20"/>
                <w:szCs w:val="20"/>
                <w:rtl w:val="0"/>
              </w:rPr>
              <w:t xml:space="preserve">Type</w:t>
            </w:r>
            <w:r w:rsidDel="00000000" w:rsidR="00000000" w:rsidRPr="00000000">
              <w:rPr>
                <w:rtl w:val="0"/>
              </w:rPr>
            </w:r>
          </w:p>
        </w:tc>
        <w:tc>
          <w:tcPr>
            <w:tcBorders>
              <w:top w:color="cbd5e0" w:space="0" w:sz="4" w:val="single"/>
              <w:left w:color="cbd5e0" w:space="0" w:sz="4" w:val="single"/>
              <w:bottom w:color="cbd5e0" w:space="0" w:sz="4" w:val="single"/>
              <w:right w:color="cbd5e0" w:space="0" w:sz="4" w:val="single"/>
            </w:tcBorders>
            <w:shd w:fill="edf2f7" w:val="clear"/>
            <w:tcMar>
              <w:top w:w="100.0" w:type="dxa"/>
              <w:left w:w="140.0" w:type="dxa"/>
              <w:bottom w:w="100.0" w:type="dxa"/>
              <w:right w:w="140.0" w:type="dxa"/>
            </w:tcMar>
            <w:vAlign w:val="center"/>
          </w:tcPr>
          <w:p w:rsidR="00000000" w:rsidDel="00000000" w:rsidP="00000000" w:rsidRDefault="00000000" w:rsidRPr="00000000" w14:paraId="00000075">
            <w:pPr>
              <w:spacing w:line="260" w:lineRule="auto"/>
              <w:rPr/>
            </w:pPr>
            <w:r w:rsidDel="00000000" w:rsidR="00000000" w:rsidRPr="00000000">
              <w:rPr>
                <w:color w:val="2d3748"/>
                <w:sz w:val="20"/>
                <w:szCs w:val="20"/>
                <w:rtl w:val="0"/>
              </w:rPr>
              <w:t xml:space="preserve">Voluntary framework (US-anchored)</w:t>
            </w:r>
            <w:r w:rsidDel="00000000" w:rsidR="00000000" w:rsidRPr="00000000">
              <w:rPr>
                <w:rtl w:val="0"/>
              </w:rPr>
            </w:r>
          </w:p>
        </w:tc>
        <w:tc>
          <w:tcPr>
            <w:tcBorders>
              <w:top w:color="cbd5e0" w:space="0" w:sz="4" w:val="single"/>
              <w:left w:color="cbd5e0" w:space="0" w:sz="4" w:val="single"/>
              <w:bottom w:color="cbd5e0" w:space="0" w:sz="4" w:val="single"/>
              <w:right w:color="cbd5e0" w:space="0" w:sz="4" w:val="single"/>
            </w:tcBorders>
            <w:shd w:fill="edf2f7" w:val="clear"/>
            <w:tcMar>
              <w:top w:w="100.0" w:type="dxa"/>
              <w:left w:w="140.0" w:type="dxa"/>
              <w:bottom w:w="100.0" w:type="dxa"/>
              <w:right w:w="140.0" w:type="dxa"/>
            </w:tcMar>
            <w:vAlign w:val="center"/>
          </w:tcPr>
          <w:p w:rsidR="00000000" w:rsidDel="00000000" w:rsidP="00000000" w:rsidRDefault="00000000" w:rsidRPr="00000000" w14:paraId="00000076">
            <w:pPr>
              <w:spacing w:line="260" w:lineRule="auto"/>
              <w:rPr/>
            </w:pPr>
            <w:r w:rsidDel="00000000" w:rsidR="00000000" w:rsidRPr="00000000">
              <w:rPr>
                <w:color w:val="2d3748"/>
                <w:sz w:val="20"/>
                <w:szCs w:val="20"/>
                <w:rtl w:val="0"/>
              </w:rPr>
              <w:t xml:space="preserve">Certifiable international management-system standard</w:t>
            </w:r>
            <w:r w:rsidDel="00000000" w:rsidR="00000000" w:rsidRPr="00000000">
              <w:rPr>
                <w:rtl w:val="0"/>
              </w:rPr>
            </w:r>
          </w:p>
        </w:tc>
        <w:tc>
          <w:tcPr>
            <w:tcBorders>
              <w:top w:color="cbd5e0" w:space="0" w:sz="4" w:val="single"/>
              <w:left w:color="cbd5e0" w:space="0" w:sz="4" w:val="single"/>
              <w:bottom w:color="cbd5e0" w:space="0" w:sz="4" w:val="single"/>
              <w:right w:color="cbd5e0" w:space="0" w:sz="4" w:val="single"/>
            </w:tcBorders>
            <w:shd w:fill="edf2f7" w:val="clear"/>
            <w:tcMar>
              <w:top w:w="100.0" w:type="dxa"/>
              <w:left w:w="140.0" w:type="dxa"/>
              <w:bottom w:w="100.0" w:type="dxa"/>
              <w:right w:w="140.0" w:type="dxa"/>
            </w:tcMar>
            <w:vAlign w:val="center"/>
          </w:tcPr>
          <w:p w:rsidR="00000000" w:rsidDel="00000000" w:rsidP="00000000" w:rsidRDefault="00000000" w:rsidRPr="00000000" w14:paraId="00000077">
            <w:pPr>
              <w:spacing w:line="260" w:lineRule="auto"/>
              <w:rPr/>
            </w:pPr>
            <w:r w:rsidDel="00000000" w:rsidR="00000000" w:rsidRPr="00000000">
              <w:rPr>
                <w:color w:val="2d3748"/>
                <w:sz w:val="20"/>
                <w:szCs w:val="20"/>
                <w:rtl w:val="0"/>
              </w:rPr>
              <w:t xml:space="preserve">Binding regulation (EU + extraterritorial)</w:t>
            </w:r>
            <w:r w:rsidDel="00000000" w:rsidR="00000000" w:rsidRPr="00000000">
              <w:rPr>
                <w:rtl w:val="0"/>
              </w:rPr>
            </w:r>
          </w:p>
        </w:tc>
      </w:tr>
      <w:tr>
        <w:trPr>
          <w:cantSplit w:val="0"/>
          <w:tblHeader w:val="0"/>
        </w:trPr>
        <w:tc>
          <w:tcPr>
            <w:tcBorders>
              <w:top w:color="cbd5e0" w:space="0" w:sz="4" w:val="single"/>
              <w:left w:color="cbd5e0" w:space="0" w:sz="4" w:val="single"/>
              <w:bottom w:color="cbd5e0" w:space="0" w:sz="4" w:val="single"/>
              <w:right w:color="cbd5e0" w:space="0" w:sz="4" w:val="single"/>
            </w:tcBorders>
            <w:tcMar>
              <w:top w:w="100.0" w:type="dxa"/>
              <w:left w:w="140.0" w:type="dxa"/>
              <w:bottom w:w="100.0" w:type="dxa"/>
              <w:right w:w="140.0" w:type="dxa"/>
            </w:tcMar>
            <w:vAlign w:val="center"/>
          </w:tcPr>
          <w:p w:rsidR="00000000" w:rsidDel="00000000" w:rsidP="00000000" w:rsidRDefault="00000000" w:rsidRPr="00000000" w14:paraId="00000078">
            <w:pPr>
              <w:spacing w:line="260" w:lineRule="auto"/>
              <w:rPr/>
            </w:pPr>
            <w:r w:rsidDel="00000000" w:rsidR="00000000" w:rsidRPr="00000000">
              <w:rPr>
                <w:b w:val="1"/>
                <w:bCs w:val="1"/>
                <w:color w:val="2d3748"/>
                <w:sz w:val="20"/>
                <w:szCs w:val="20"/>
                <w:rtl w:val="0"/>
              </w:rPr>
              <w:t xml:space="preserve">Issuing body</w:t>
            </w:r>
            <w:r w:rsidDel="00000000" w:rsidR="00000000" w:rsidRPr="00000000">
              <w:rPr>
                <w:rtl w:val="0"/>
              </w:rPr>
            </w:r>
          </w:p>
        </w:tc>
        <w:tc>
          <w:tcPr>
            <w:tcBorders>
              <w:top w:color="cbd5e0" w:space="0" w:sz="4" w:val="single"/>
              <w:left w:color="cbd5e0" w:space="0" w:sz="4" w:val="single"/>
              <w:bottom w:color="cbd5e0" w:space="0" w:sz="4" w:val="single"/>
              <w:right w:color="cbd5e0" w:space="0" w:sz="4" w:val="single"/>
            </w:tcBorders>
            <w:tcMar>
              <w:top w:w="100.0" w:type="dxa"/>
              <w:left w:w="140.0" w:type="dxa"/>
              <w:bottom w:w="100.0" w:type="dxa"/>
              <w:right w:w="140.0" w:type="dxa"/>
            </w:tcMar>
            <w:vAlign w:val="center"/>
          </w:tcPr>
          <w:p w:rsidR="00000000" w:rsidDel="00000000" w:rsidP="00000000" w:rsidRDefault="00000000" w:rsidRPr="00000000" w14:paraId="00000079">
            <w:pPr>
              <w:spacing w:line="260" w:lineRule="auto"/>
              <w:rPr/>
            </w:pPr>
            <w:r w:rsidDel="00000000" w:rsidR="00000000" w:rsidRPr="00000000">
              <w:rPr>
                <w:color w:val="2d3748"/>
                <w:sz w:val="20"/>
                <w:szCs w:val="20"/>
                <w:rtl w:val="0"/>
              </w:rPr>
              <w:t xml:space="preserve">US National Institute of Standards and Technology (NIST), Jan 2023</w:t>
            </w:r>
            <w:r w:rsidDel="00000000" w:rsidR="00000000" w:rsidRPr="00000000">
              <w:rPr>
                <w:rtl w:val="0"/>
              </w:rPr>
            </w:r>
          </w:p>
        </w:tc>
        <w:tc>
          <w:tcPr>
            <w:tcBorders>
              <w:top w:color="cbd5e0" w:space="0" w:sz="4" w:val="single"/>
              <w:left w:color="cbd5e0" w:space="0" w:sz="4" w:val="single"/>
              <w:bottom w:color="cbd5e0" w:space="0" w:sz="4" w:val="single"/>
              <w:right w:color="cbd5e0" w:space="0" w:sz="4" w:val="single"/>
            </w:tcBorders>
            <w:tcMar>
              <w:top w:w="100.0" w:type="dxa"/>
              <w:left w:w="140.0" w:type="dxa"/>
              <w:bottom w:w="100.0" w:type="dxa"/>
              <w:right w:w="140.0" w:type="dxa"/>
            </w:tcMar>
            <w:vAlign w:val="center"/>
          </w:tcPr>
          <w:p w:rsidR="00000000" w:rsidDel="00000000" w:rsidP="00000000" w:rsidRDefault="00000000" w:rsidRPr="00000000" w14:paraId="0000007A">
            <w:pPr>
              <w:spacing w:line="260" w:lineRule="auto"/>
              <w:rPr/>
            </w:pPr>
            <w:r w:rsidDel="00000000" w:rsidR="00000000" w:rsidRPr="00000000">
              <w:rPr>
                <w:color w:val="2d3748"/>
                <w:sz w:val="20"/>
                <w:szCs w:val="20"/>
                <w:rtl w:val="0"/>
              </w:rPr>
              <w:t xml:space="preserve">ISO / IEC, 2023; first certifications mid-2025</w:t>
            </w:r>
            <w:r w:rsidDel="00000000" w:rsidR="00000000" w:rsidRPr="00000000">
              <w:rPr>
                <w:rtl w:val="0"/>
              </w:rPr>
            </w:r>
          </w:p>
        </w:tc>
        <w:tc>
          <w:tcPr>
            <w:tcBorders>
              <w:top w:color="cbd5e0" w:space="0" w:sz="4" w:val="single"/>
              <w:left w:color="cbd5e0" w:space="0" w:sz="4" w:val="single"/>
              <w:bottom w:color="cbd5e0" w:space="0" w:sz="4" w:val="single"/>
              <w:right w:color="cbd5e0" w:space="0" w:sz="4" w:val="single"/>
            </w:tcBorders>
            <w:tcMar>
              <w:top w:w="100.0" w:type="dxa"/>
              <w:left w:w="140.0" w:type="dxa"/>
              <w:bottom w:w="100.0" w:type="dxa"/>
              <w:right w:w="140.0" w:type="dxa"/>
            </w:tcMar>
            <w:vAlign w:val="center"/>
          </w:tcPr>
          <w:p w:rsidR="00000000" w:rsidDel="00000000" w:rsidP="00000000" w:rsidRDefault="00000000" w:rsidRPr="00000000" w14:paraId="0000007B">
            <w:pPr>
              <w:spacing w:line="260" w:lineRule="auto"/>
              <w:rPr/>
            </w:pPr>
            <w:r w:rsidDel="00000000" w:rsidR="00000000" w:rsidRPr="00000000">
              <w:rPr>
                <w:color w:val="2d3748"/>
                <w:sz w:val="20"/>
                <w:szCs w:val="20"/>
                <w:rtl w:val="0"/>
              </w:rPr>
              <w:t xml:space="preserve">European Parliament; full compliance Aug 2026</w:t>
            </w:r>
            <w:r w:rsidDel="00000000" w:rsidR="00000000" w:rsidRPr="00000000">
              <w:rPr>
                <w:rtl w:val="0"/>
              </w:rPr>
            </w:r>
          </w:p>
        </w:tc>
      </w:tr>
      <w:tr>
        <w:trPr>
          <w:cantSplit w:val="0"/>
          <w:tblHeader w:val="0"/>
        </w:trPr>
        <w:tc>
          <w:tcPr>
            <w:tcBorders>
              <w:top w:color="cbd5e0" w:space="0" w:sz="4" w:val="single"/>
              <w:left w:color="cbd5e0" w:space="0" w:sz="4" w:val="single"/>
              <w:bottom w:color="cbd5e0" w:space="0" w:sz="4" w:val="single"/>
              <w:right w:color="cbd5e0" w:space="0" w:sz="4" w:val="single"/>
            </w:tcBorders>
            <w:shd w:fill="edf2f7" w:val="clear"/>
            <w:tcMar>
              <w:top w:w="100.0" w:type="dxa"/>
              <w:left w:w="140.0" w:type="dxa"/>
              <w:bottom w:w="100.0" w:type="dxa"/>
              <w:right w:w="140.0" w:type="dxa"/>
            </w:tcMar>
            <w:vAlign w:val="center"/>
          </w:tcPr>
          <w:p w:rsidR="00000000" w:rsidDel="00000000" w:rsidP="00000000" w:rsidRDefault="00000000" w:rsidRPr="00000000" w14:paraId="0000007C">
            <w:pPr>
              <w:spacing w:line="260" w:lineRule="auto"/>
              <w:rPr/>
            </w:pPr>
            <w:r w:rsidDel="00000000" w:rsidR="00000000" w:rsidRPr="00000000">
              <w:rPr>
                <w:b w:val="1"/>
                <w:bCs w:val="1"/>
                <w:color w:val="2d3748"/>
                <w:sz w:val="20"/>
                <w:szCs w:val="20"/>
                <w:rtl w:val="0"/>
              </w:rPr>
              <w:t xml:space="preserve">Core structure</w:t>
            </w:r>
            <w:r w:rsidDel="00000000" w:rsidR="00000000" w:rsidRPr="00000000">
              <w:rPr>
                <w:rtl w:val="0"/>
              </w:rPr>
            </w:r>
          </w:p>
        </w:tc>
        <w:tc>
          <w:tcPr>
            <w:tcBorders>
              <w:top w:color="cbd5e0" w:space="0" w:sz="4" w:val="single"/>
              <w:left w:color="cbd5e0" w:space="0" w:sz="4" w:val="single"/>
              <w:bottom w:color="cbd5e0" w:space="0" w:sz="4" w:val="single"/>
              <w:right w:color="cbd5e0" w:space="0" w:sz="4" w:val="single"/>
            </w:tcBorders>
            <w:shd w:fill="edf2f7" w:val="clear"/>
            <w:tcMar>
              <w:top w:w="100.0" w:type="dxa"/>
              <w:left w:w="140.0" w:type="dxa"/>
              <w:bottom w:w="100.0" w:type="dxa"/>
              <w:right w:w="140.0" w:type="dxa"/>
            </w:tcMar>
            <w:vAlign w:val="center"/>
          </w:tcPr>
          <w:p w:rsidR="00000000" w:rsidDel="00000000" w:rsidP="00000000" w:rsidRDefault="00000000" w:rsidRPr="00000000" w14:paraId="0000007D">
            <w:pPr>
              <w:spacing w:line="260" w:lineRule="auto"/>
              <w:rPr/>
            </w:pPr>
            <w:r w:rsidDel="00000000" w:rsidR="00000000" w:rsidRPr="00000000">
              <w:rPr>
                <w:color w:val="2d3748"/>
                <w:sz w:val="20"/>
                <w:szCs w:val="20"/>
                <w:rtl w:val="0"/>
              </w:rPr>
              <w:t xml:space="preserve">Four functions: Govern, Map, Measure, Manage</w:t>
            </w:r>
            <w:r w:rsidDel="00000000" w:rsidR="00000000" w:rsidRPr="00000000">
              <w:rPr>
                <w:rtl w:val="0"/>
              </w:rPr>
            </w:r>
          </w:p>
        </w:tc>
        <w:tc>
          <w:tcPr>
            <w:tcBorders>
              <w:top w:color="cbd5e0" w:space="0" w:sz="4" w:val="single"/>
              <w:left w:color="cbd5e0" w:space="0" w:sz="4" w:val="single"/>
              <w:bottom w:color="cbd5e0" w:space="0" w:sz="4" w:val="single"/>
              <w:right w:color="cbd5e0" w:space="0" w:sz="4" w:val="single"/>
            </w:tcBorders>
            <w:shd w:fill="edf2f7" w:val="clear"/>
            <w:tcMar>
              <w:top w:w="100.0" w:type="dxa"/>
              <w:left w:w="140.0" w:type="dxa"/>
              <w:bottom w:w="100.0" w:type="dxa"/>
              <w:right w:w="140.0" w:type="dxa"/>
            </w:tcMar>
            <w:vAlign w:val="center"/>
          </w:tcPr>
          <w:p w:rsidR="00000000" w:rsidDel="00000000" w:rsidP="00000000" w:rsidRDefault="00000000" w:rsidRPr="00000000" w14:paraId="0000007E">
            <w:pPr>
              <w:spacing w:line="260" w:lineRule="auto"/>
              <w:rPr/>
            </w:pPr>
            <w:r w:rsidDel="00000000" w:rsidR="00000000" w:rsidRPr="00000000">
              <w:rPr>
                <w:color w:val="2d3748"/>
                <w:sz w:val="20"/>
                <w:szCs w:val="20"/>
                <w:rtl w:val="0"/>
              </w:rPr>
              <w:t xml:space="preserve">Management-system clauses + Annex A controls</w:t>
            </w:r>
            <w:r w:rsidDel="00000000" w:rsidR="00000000" w:rsidRPr="00000000">
              <w:rPr>
                <w:rtl w:val="0"/>
              </w:rPr>
            </w:r>
          </w:p>
        </w:tc>
        <w:tc>
          <w:tcPr>
            <w:tcBorders>
              <w:top w:color="cbd5e0" w:space="0" w:sz="4" w:val="single"/>
              <w:left w:color="cbd5e0" w:space="0" w:sz="4" w:val="single"/>
              <w:bottom w:color="cbd5e0" w:space="0" w:sz="4" w:val="single"/>
              <w:right w:color="cbd5e0" w:space="0" w:sz="4" w:val="single"/>
            </w:tcBorders>
            <w:shd w:fill="edf2f7" w:val="clear"/>
            <w:tcMar>
              <w:top w:w="100.0" w:type="dxa"/>
              <w:left w:w="140.0" w:type="dxa"/>
              <w:bottom w:w="100.0" w:type="dxa"/>
              <w:right w:w="140.0" w:type="dxa"/>
            </w:tcMar>
            <w:vAlign w:val="center"/>
          </w:tcPr>
          <w:p w:rsidR="00000000" w:rsidDel="00000000" w:rsidP="00000000" w:rsidRDefault="00000000" w:rsidRPr="00000000" w14:paraId="0000007F">
            <w:pPr>
              <w:spacing w:line="260" w:lineRule="auto"/>
              <w:rPr/>
            </w:pPr>
            <w:r w:rsidDel="00000000" w:rsidR="00000000" w:rsidRPr="00000000">
              <w:rPr>
                <w:color w:val="2d3748"/>
                <w:sz w:val="20"/>
                <w:szCs w:val="20"/>
                <w:rtl w:val="0"/>
              </w:rPr>
              <w:t xml:space="preserve">Risk-tiered: unacceptable / high / limited / minimal</w:t>
            </w:r>
            <w:r w:rsidDel="00000000" w:rsidR="00000000" w:rsidRPr="00000000">
              <w:rPr>
                <w:rtl w:val="0"/>
              </w:rPr>
            </w:r>
          </w:p>
        </w:tc>
      </w:tr>
      <w:tr>
        <w:trPr>
          <w:cantSplit w:val="0"/>
          <w:tblHeader w:val="0"/>
        </w:trPr>
        <w:tc>
          <w:tcPr>
            <w:tcBorders>
              <w:top w:color="cbd5e0" w:space="0" w:sz="4" w:val="single"/>
              <w:left w:color="cbd5e0" w:space="0" w:sz="4" w:val="single"/>
              <w:bottom w:color="cbd5e0" w:space="0" w:sz="4" w:val="single"/>
              <w:right w:color="cbd5e0" w:space="0" w:sz="4" w:val="single"/>
            </w:tcBorders>
            <w:tcMar>
              <w:top w:w="100.0" w:type="dxa"/>
              <w:left w:w="140.0" w:type="dxa"/>
              <w:bottom w:w="100.0" w:type="dxa"/>
              <w:right w:w="140.0" w:type="dxa"/>
            </w:tcMar>
            <w:vAlign w:val="center"/>
          </w:tcPr>
          <w:p w:rsidR="00000000" w:rsidDel="00000000" w:rsidP="00000000" w:rsidRDefault="00000000" w:rsidRPr="00000000" w14:paraId="00000080">
            <w:pPr>
              <w:spacing w:line="260" w:lineRule="auto"/>
              <w:rPr/>
            </w:pPr>
            <w:r w:rsidDel="00000000" w:rsidR="00000000" w:rsidRPr="00000000">
              <w:rPr>
                <w:b w:val="1"/>
                <w:bCs w:val="1"/>
                <w:color w:val="2d3748"/>
                <w:sz w:val="20"/>
                <w:szCs w:val="20"/>
                <w:rtl w:val="0"/>
              </w:rPr>
              <w:t xml:space="preserve">Primary value</w:t>
            </w:r>
            <w:r w:rsidDel="00000000" w:rsidR="00000000" w:rsidRPr="00000000">
              <w:rPr>
                <w:rtl w:val="0"/>
              </w:rPr>
            </w:r>
          </w:p>
        </w:tc>
        <w:tc>
          <w:tcPr>
            <w:tcBorders>
              <w:top w:color="cbd5e0" w:space="0" w:sz="4" w:val="single"/>
              <w:left w:color="cbd5e0" w:space="0" w:sz="4" w:val="single"/>
              <w:bottom w:color="cbd5e0" w:space="0" w:sz="4" w:val="single"/>
              <w:right w:color="cbd5e0" w:space="0" w:sz="4" w:val="single"/>
            </w:tcBorders>
            <w:tcMar>
              <w:top w:w="100.0" w:type="dxa"/>
              <w:left w:w="140.0" w:type="dxa"/>
              <w:bottom w:w="100.0" w:type="dxa"/>
              <w:right w:w="140.0" w:type="dxa"/>
            </w:tcMar>
            <w:vAlign w:val="center"/>
          </w:tcPr>
          <w:p w:rsidR="00000000" w:rsidDel="00000000" w:rsidP="00000000" w:rsidRDefault="00000000" w:rsidRPr="00000000" w14:paraId="00000081">
            <w:pPr>
              <w:spacing w:line="260" w:lineRule="auto"/>
              <w:rPr/>
            </w:pPr>
            <w:r w:rsidDel="00000000" w:rsidR="00000000" w:rsidRPr="00000000">
              <w:rPr>
                <w:color w:val="2d3748"/>
                <w:sz w:val="20"/>
                <w:szCs w:val="20"/>
                <w:rtl w:val="0"/>
              </w:rPr>
              <w:t xml:space="preserve">Adaptable risk-based reasoning; widely referenced by US procurement</w:t>
            </w:r>
            <w:r w:rsidDel="00000000" w:rsidR="00000000" w:rsidRPr="00000000">
              <w:rPr>
                <w:rtl w:val="0"/>
              </w:rPr>
            </w:r>
          </w:p>
        </w:tc>
        <w:tc>
          <w:tcPr>
            <w:tcBorders>
              <w:top w:color="cbd5e0" w:space="0" w:sz="4" w:val="single"/>
              <w:left w:color="cbd5e0" w:space="0" w:sz="4" w:val="single"/>
              <w:bottom w:color="cbd5e0" w:space="0" w:sz="4" w:val="single"/>
              <w:right w:color="cbd5e0" w:space="0" w:sz="4" w:val="single"/>
            </w:tcBorders>
            <w:tcMar>
              <w:top w:w="100.0" w:type="dxa"/>
              <w:left w:w="140.0" w:type="dxa"/>
              <w:bottom w:w="100.0" w:type="dxa"/>
              <w:right w:w="140.0" w:type="dxa"/>
            </w:tcMar>
            <w:vAlign w:val="center"/>
          </w:tcPr>
          <w:p w:rsidR="00000000" w:rsidDel="00000000" w:rsidP="00000000" w:rsidRDefault="00000000" w:rsidRPr="00000000" w14:paraId="00000082">
            <w:pPr>
              <w:spacing w:line="260" w:lineRule="auto"/>
              <w:rPr/>
            </w:pPr>
            <w:r w:rsidDel="00000000" w:rsidR="00000000" w:rsidRPr="00000000">
              <w:rPr>
                <w:color w:val="2d3748"/>
                <w:sz w:val="20"/>
                <w:szCs w:val="20"/>
                <w:rtl w:val="0"/>
              </w:rPr>
              <w:t xml:space="preserve">Auditable, certifiable governance signal to partners and regulators</w:t>
            </w:r>
            <w:r w:rsidDel="00000000" w:rsidR="00000000" w:rsidRPr="00000000">
              <w:rPr>
                <w:rtl w:val="0"/>
              </w:rPr>
            </w:r>
          </w:p>
        </w:tc>
        <w:tc>
          <w:tcPr>
            <w:tcBorders>
              <w:top w:color="cbd5e0" w:space="0" w:sz="4" w:val="single"/>
              <w:left w:color="cbd5e0" w:space="0" w:sz="4" w:val="single"/>
              <w:bottom w:color="cbd5e0" w:space="0" w:sz="4" w:val="single"/>
              <w:right w:color="cbd5e0" w:space="0" w:sz="4" w:val="single"/>
            </w:tcBorders>
            <w:tcMar>
              <w:top w:w="100.0" w:type="dxa"/>
              <w:left w:w="140.0" w:type="dxa"/>
              <w:bottom w:w="100.0" w:type="dxa"/>
              <w:right w:w="140.0" w:type="dxa"/>
            </w:tcMar>
            <w:vAlign w:val="center"/>
          </w:tcPr>
          <w:p w:rsidR="00000000" w:rsidDel="00000000" w:rsidP="00000000" w:rsidRDefault="00000000" w:rsidRPr="00000000" w14:paraId="00000083">
            <w:pPr>
              <w:spacing w:line="260" w:lineRule="auto"/>
              <w:rPr/>
            </w:pPr>
            <w:r w:rsidDel="00000000" w:rsidR="00000000" w:rsidRPr="00000000">
              <w:rPr>
                <w:color w:val="2d3748"/>
                <w:sz w:val="20"/>
                <w:szCs w:val="20"/>
                <w:rtl w:val="0"/>
              </w:rPr>
              <w:t xml:space="preserve">Defines high-risk categories with specific obligations</w:t>
            </w:r>
            <w:r w:rsidDel="00000000" w:rsidR="00000000" w:rsidRPr="00000000">
              <w:rPr>
                <w:rtl w:val="0"/>
              </w:rPr>
            </w:r>
          </w:p>
        </w:tc>
      </w:tr>
      <w:tr>
        <w:trPr>
          <w:cantSplit w:val="0"/>
          <w:tblHeader w:val="0"/>
        </w:trPr>
        <w:tc>
          <w:tcPr>
            <w:tcBorders>
              <w:top w:color="cbd5e0" w:space="0" w:sz="4" w:val="single"/>
              <w:left w:color="cbd5e0" w:space="0" w:sz="4" w:val="single"/>
              <w:bottom w:color="cbd5e0" w:space="0" w:sz="4" w:val="single"/>
              <w:right w:color="cbd5e0" w:space="0" w:sz="4" w:val="single"/>
            </w:tcBorders>
            <w:shd w:fill="edf2f7" w:val="clear"/>
            <w:tcMar>
              <w:top w:w="100.0" w:type="dxa"/>
              <w:left w:w="140.0" w:type="dxa"/>
              <w:bottom w:w="100.0" w:type="dxa"/>
              <w:right w:w="140.0" w:type="dxa"/>
            </w:tcMar>
            <w:vAlign w:val="center"/>
          </w:tcPr>
          <w:p w:rsidR="00000000" w:rsidDel="00000000" w:rsidP="00000000" w:rsidRDefault="00000000" w:rsidRPr="00000000" w14:paraId="00000084">
            <w:pPr>
              <w:spacing w:line="260" w:lineRule="auto"/>
              <w:rPr/>
            </w:pPr>
            <w:r w:rsidDel="00000000" w:rsidR="00000000" w:rsidRPr="00000000">
              <w:rPr>
                <w:b w:val="1"/>
                <w:bCs w:val="1"/>
                <w:color w:val="2d3748"/>
                <w:sz w:val="20"/>
                <w:szCs w:val="20"/>
                <w:rtl w:val="0"/>
              </w:rPr>
              <w:t xml:space="preserve">Enforceability</w:t>
            </w:r>
            <w:r w:rsidDel="00000000" w:rsidR="00000000" w:rsidRPr="00000000">
              <w:rPr>
                <w:rtl w:val="0"/>
              </w:rPr>
            </w:r>
          </w:p>
        </w:tc>
        <w:tc>
          <w:tcPr>
            <w:tcBorders>
              <w:top w:color="cbd5e0" w:space="0" w:sz="4" w:val="single"/>
              <w:left w:color="cbd5e0" w:space="0" w:sz="4" w:val="single"/>
              <w:bottom w:color="cbd5e0" w:space="0" w:sz="4" w:val="single"/>
              <w:right w:color="cbd5e0" w:space="0" w:sz="4" w:val="single"/>
            </w:tcBorders>
            <w:shd w:fill="edf2f7" w:val="clear"/>
            <w:tcMar>
              <w:top w:w="100.0" w:type="dxa"/>
              <w:left w:w="140.0" w:type="dxa"/>
              <w:bottom w:w="100.0" w:type="dxa"/>
              <w:right w:w="140.0" w:type="dxa"/>
            </w:tcMar>
            <w:vAlign w:val="center"/>
          </w:tcPr>
          <w:p w:rsidR="00000000" w:rsidDel="00000000" w:rsidP="00000000" w:rsidRDefault="00000000" w:rsidRPr="00000000" w14:paraId="00000085">
            <w:pPr>
              <w:spacing w:line="260" w:lineRule="auto"/>
              <w:rPr/>
            </w:pPr>
            <w:r w:rsidDel="00000000" w:rsidR="00000000" w:rsidRPr="00000000">
              <w:rPr>
                <w:color w:val="2d3748"/>
                <w:sz w:val="20"/>
                <w:szCs w:val="20"/>
                <w:rtl w:val="0"/>
              </w:rPr>
              <w:t xml:space="preserve">Not enforceable; de facto standard in US enterprise governance</w:t>
            </w:r>
            <w:r w:rsidDel="00000000" w:rsidR="00000000" w:rsidRPr="00000000">
              <w:rPr>
                <w:rtl w:val="0"/>
              </w:rPr>
            </w:r>
          </w:p>
        </w:tc>
        <w:tc>
          <w:tcPr>
            <w:tcBorders>
              <w:top w:color="cbd5e0" w:space="0" w:sz="4" w:val="single"/>
              <w:left w:color="cbd5e0" w:space="0" w:sz="4" w:val="single"/>
              <w:bottom w:color="cbd5e0" w:space="0" w:sz="4" w:val="single"/>
              <w:right w:color="cbd5e0" w:space="0" w:sz="4" w:val="single"/>
            </w:tcBorders>
            <w:shd w:fill="edf2f7" w:val="clear"/>
            <w:tcMar>
              <w:top w:w="100.0" w:type="dxa"/>
              <w:left w:w="140.0" w:type="dxa"/>
              <w:bottom w:w="100.0" w:type="dxa"/>
              <w:right w:w="140.0" w:type="dxa"/>
            </w:tcMar>
            <w:vAlign w:val="center"/>
          </w:tcPr>
          <w:p w:rsidR="00000000" w:rsidDel="00000000" w:rsidP="00000000" w:rsidRDefault="00000000" w:rsidRPr="00000000" w14:paraId="00000086">
            <w:pPr>
              <w:spacing w:line="260" w:lineRule="auto"/>
              <w:rPr/>
            </w:pPr>
            <w:r w:rsidDel="00000000" w:rsidR="00000000" w:rsidRPr="00000000">
              <w:rPr>
                <w:color w:val="2d3748"/>
                <w:sz w:val="20"/>
                <w:szCs w:val="20"/>
                <w:rtl w:val="0"/>
              </w:rPr>
              <w:t xml:space="preserve">Voluntary, but certification is contractually meaningful</w:t>
            </w:r>
            <w:r w:rsidDel="00000000" w:rsidR="00000000" w:rsidRPr="00000000">
              <w:rPr>
                <w:rtl w:val="0"/>
              </w:rPr>
            </w:r>
          </w:p>
        </w:tc>
        <w:tc>
          <w:tcPr>
            <w:tcBorders>
              <w:top w:color="cbd5e0" w:space="0" w:sz="4" w:val="single"/>
              <w:left w:color="cbd5e0" w:space="0" w:sz="4" w:val="single"/>
              <w:bottom w:color="cbd5e0" w:space="0" w:sz="4" w:val="single"/>
              <w:right w:color="cbd5e0" w:space="0" w:sz="4" w:val="single"/>
            </w:tcBorders>
            <w:shd w:fill="edf2f7" w:val="clear"/>
            <w:tcMar>
              <w:top w:w="100.0" w:type="dxa"/>
              <w:left w:w="140.0" w:type="dxa"/>
              <w:bottom w:w="100.0" w:type="dxa"/>
              <w:right w:w="140.0" w:type="dxa"/>
            </w:tcMar>
            <w:vAlign w:val="center"/>
          </w:tcPr>
          <w:p w:rsidR="00000000" w:rsidDel="00000000" w:rsidP="00000000" w:rsidRDefault="00000000" w:rsidRPr="00000000" w14:paraId="00000087">
            <w:pPr>
              <w:spacing w:line="260" w:lineRule="auto"/>
              <w:rPr/>
            </w:pPr>
            <w:r w:rsidDel="00000000" w:rsidR="00000000" w:rsidRPr="00000000">
              <w:rPr>
                <w:color w:val="2d3748"/>
                <w:sz w:val="20"/>
                <w:szCs w:val="20"/>
                <w:rtl w:val="0"/>
              </w:rPr>
              <w:t xml:space="preserve">Legally binding; significant penalties for non-compliance</w:t>
            </w:r>
            <w:r w:rsidDel="00000000" w:rsidR="00000000" w:rsidRPr="00000000">
              <w:rPr>
                <w:rtl w:val="0"/>
              </w:rPr>
            </w:r>
          </w:p>
        </w:tc>
      </w:tr>
    </w:tbl>
    <w:p w:rsidR="00000000" w:rsidDel="00000000" w:rsidP="00000000" w:rsidRDefault="00000000" w:rsidRPr="00000000" w14:paraId="00000088">
      <w:pPr>
        <w:spacing w:after="120" w:line="260" w:lineRule="auto"/>
        <w:ind w:left="240" w:firstLine="0"/>
        <w:rPr/>
      </w:pPr>
      <w:r w:rsidDel="00000000" w:rsidR="00000000" w:rsidRPr="00000000">
        <w:rPr>
          <w:color w:val="718096"/>
          <w:sz w:val="18"/>
          <w:szCs w:val="18"/>
          <w:rtl w:val="0"/>
        </w:rPr>
        <w:t xml:space="preserve">Table 2. The three governance frameworks shaping Applied AI compliance programs.</w:t>
      </w:r>
      <w:r w:rsidDel="00000000" w:rsidR="00000000" w:rsidRPr="00000000">
        <w:rPr>
          <w:rtl w:val="0"/>
        </w:rPr>
      </w:r>
    </w:p>
    <w:p w:rsidR="00000000" w:rsidDel="00000000" w:rsidP="00000000" w:rsidRDefault="00000000" w:rsidRPr="00000000" w14:paraId="00000089">
      <w:pPr>
        <w:rPr/>
      </w:pPr>
      <w:r w:rsidDel="00000000" w:rsidR="00000000" w:rsidRPr="00000000">
        <w:rPr>
          <w:rtl w:val="0"/>
        </w:rPr>
      </w:r>
    </w:p>
    <w:p w:rsidR="00000000" w:rsidDel="00000000" w:rsidP="00000000" w:rsidRDefault="00000000" w:rsidRPr="00000000" w14:paraId="0000008A">
      <w:pPr>
        <w:pStyle w:val="Heading2"/>
        <w:rPr/>
      </w:pPr>
      <w:r w:rsidDel="00000000" w:rsidR="00000000" w:rsidRPr="00000000">
        <w:rPr>
          <w:rtl w:val="0"/>
        </w:rPr>
        <w:t xml:space="preserve">5.1 How mature programs integrate them</w:t>
      </w:r>
    </w:p>
    <w:p w:rsidR="00000000" w:rsidDel="00000000" w:rsidP="00000000" w:rsidRDefault="00000000" w:rsidRPr="00000000" w14:paraId="0000008B">
      <w:pPr>
        <w:spacing w:after="160" w:before="80" w:line="300" w:lineRule="auto"/>
        <w:jc w:val="both"/>
        <w:rPr/>
      </w:pPr>
      <w:r w:rsidDel="00000000" w:rsidR="00000000" w:rsidRPr="00000000">
        <w:rPr>
          <w:color w:val="2d3748"/>
          <w:rtl w:val="0"/>
        </w:rPr>
        <w:t xml:space="preserve">The integration pattern recommended across the practitioner literature treats ISO 42001 as the management-system wrapper that defines policies, roles, and audit-ready governance; NIST AI RMF as the risk-reasoning framework that guides decisions inside that wrapper; and the EU AI Act (or sector regulation such as the OCC's model risk guidance, FDA's AI/ML SaMD framework, or financial services SR 11-7) as the mandatory obligations layered on top for in-scope systems.</w:t>
      </w:r>
      <w:r w:rsidDel="00000000" w:rsidR="00000000" w:rsidRPr="00000000">
        <w:rPr>
          <w:rtl w:val="0"/>
        </w:rPr>
      </w:r>
    </w:p>
    <w:p w:rsidR="00000000" w:rsidDel="00000000" w:rsidP="00000000" w:rsidRDefault="00000000" w:rsidRPr="00000000" w14:paraId="0000008C">
      <w:pPr>
        <w:spacing w:after="160" w:before="80" w:line="300" w:lineRule="auto"/>
        <w:jc w:val="both"/>
        <w:rPr/>
      </w:pPr>
      <w:r w:rsidDel="00000000" w:rsidR="00000000" w:rsidRPr="00000000">
        <w:rPr>
          <w:color w:val="2d3748"/>
          <w:rtl w:val="0"/>
        </w:rPr>
        <w:t xml:space="preserve">Operationally, this usually takes the form of a single cross-framework AI system register. For each system, the register captures: system name and purpose; EU AI Act risk tier; which NIST AI RMF functions have been applied and to what depth; which ISO 42001 Annex A controls are in scope; owner and governance committee; current compliance status across frameworks; outstanding gaps and remediation timelines; and locations of supporting documentation. Maintained as a living document with quarterly reviews, this register satisfies ISO 42001 Clause 8 operational planning, NIST's Map and Govern functions, and the EU AI Act's system-inventory requirement simultaneously.</w:t>
      </w:r>
      <w:r w:rsidDel="00000000" w:rsidR="00000000" w:rsidRPr="00000000">
        <w:rPr>
          <w:rtl w:val="0"/>
        </w:rPr>
      </w:r>
    </w:p>
    <w:p w:rsidR="00000000" w:rsidDel="00000000" w:rsidP="00000000" w:rsidRDefault="00000000" w:rsidRPr="00000000" w14:paraId="0000008D">
      <w:pPr>
        <w:pStyle w:val="Heading2"/>
        <w:rPr/>
      </w:pPr>
      <w:r w:rsidDel="00000000" w:rsidR="00000000" w:rsidRPr="00000000">
        <w:rPr>
          <w:rtl w:val="0"/>
        </w:rPr>
        <w:t xml:space="preserve">5.2 Beyond the big three</w:t>
      </w:r>
    </w:p>
    <w:p w:rsidR="00000000" w:rsidDel="00000000" w:rsidP="00000000" w:rsidRDefault="00000000" w:rsidRPr="00000000" w14:paraId="0000008E">
      <w:pPr>
        <w:spacing w:after="160" w:before="80" w:line="300" w:lineRule="auto"/>
        <w:jc w:val="both"/>
        <w:rPr/>
      </w:pPr>
      <w:r w:rsidDel="00000000" w:rsidR="00000000" w:rsidRPr="00000000">
        <w:rPr>
          <w:color w:val="2d3748"/>
          <w:rtl w:val="0"/>
        </w:rPr>
        <w:t xml:space="preserve">Sector-specific frameworks remain authoritative in their domains: NIST SP 800-53 controls for federal systems; HIPAA Security Rule and FDA's evolving AI/ML SaMD guidance for healthcare; SR 11-7 and OCC 2011-12 model risk management for banking; and IEC 61508 and ISO 26262 functional-safety standards for industrial control. The 2025 UNCTAD Commission on Science and Technology for Development issue paper on AI in R&amp;D adds an additional governance dimension: how researchers and institutions interact with AI in knowledge production, an emerging concern for industrial R&amp;D leaders.</w:t>
      </w:r>
      <w:r w:rsidDel="00000000" w:rsidR="00000000" w:rsidRPr="00000000">
        <w:rPr>
          <w:rtl w:val="0"/>
        </w:rPr>
      </w:r>
    </w:p>
    <w:p w:rsidR="00000000" w:rsidDel="00000000" w:rsidP="00000000" w:rsidRDefault="00000000" w:rsidRPr="00000000" w14:paraId="0000008F">
      <w:pPr>
        <w:pStyle w:val="Heading1"/>
        <w:pBdr>
          <w:bottom w:color="1f3a5f" w:space="6" w:sz="12" w:val="single"/>
        </w:pBdr>
        <w:rPr/>
      </w:pPr>
      <w:r w:rsidDel="00000000" w:rsidR="00000000" w:rsidRPr="00000000">
        <w:rPr>
          <w:rtl w:val="0"/>
        </w:rPr>
        <w:t xml:space="preserve">6.  Applied AI vs. MLOps — Intersection and Distinction</w:t>
      </w:r>
    </w:p>
    <w:p w:rsidR="00000000" w:rsidDel="00000000" w:rsidP="00000000" w:rsidRDefault="00000000" w:rsidRPr="00000000" w14:paraId="00000090">
      <w:pPr>
        <w:spacing w:after="160" w:before="80" w:line="300" w:lineRule="auto"/>
        <w:jc w:val="both"/>
        <w:rPr/>
      </w:pPr>
      <w:r w:rsidDel="00000000" w:rsidR="00000000" w:rsidRPr="00000000">
        <w:rPr>
          <w:color w:val="2d3748"/>
          <w:rtl w:val="0"/>
        </w:rPr>
        <w:t xml:space="preserve">Applied AI and MLOps are often used interchangeably in practice, and the resulting confusion is one source of program-design errors. This section first treats them as distinct disciplines, then maps where they intersect and where they diverge — with attention to the emerging LLMOps layer for generative AI.</w:t>
      </w:r>
      <w:r w:rsidDel="00000000" w:rsidR="00000000" w:rsidRPr="00000000">
        <w:rPr>
          <w:rtl w:val="0"/>
        </w:rPr>
      </w:r>
    </w:p>
    <w:p w:rsidR="00000000" w:rsidDel="00000000" w:rsidP="00000000" w:rsidRDefault="00000000" w:rsidRPr="00000000" w14:paraId="00000091">
      <w:pPr>
        <w:pStyle w:val="Heading2"/>
        <w:rPr/>
      </w:pPr>
      <w:r w:rsidDel="00000000" w:rsidR="00000000" w:rsidRPr="00000000">
        <w:rPr>
          <w:rtl w:val="0"/>
        </w:rPr>
        <w:t xml:space="preserve">6.1 What MLOps is, precisely</w:t>
      </w:r>
    </w:p>
    <w:p w:rsidR="00000000" w:rsidDel="00000000" w:rsidP="00000000" w:rsidRDefault="00000000" w:rsidRPr="00000000" w14:paraId="00000092">
      <w:pPr>
        <w:spacing w:after="160" w:before="80" w:line="300" w:lineRule="auto"/>
        <w:jc w:val="both"/>
        <w:rPr/>
      </w:pPr>
      <w:r w:rsidDel="00000000" w:rsidR="00000000" w:rsidRPr="00000000">
        <w:rPr>
          <w:color w:val="2d3748"/>
          <w:rtl w:val="0"/>
        </w:rPr>
        <w:t xml:space="preserve">Google Cloud's reference definition is widely adopted: MLOps is "an ML engineering culture and practice that aims at unifying ML system development (Dev) and ML system operation (Ops). Practicing MLOps means that you advocate for automation and monitoring at all steps of ML system construction, including integration, testing, releasing, deployment and infrastructure management." The systematic 2025 literature review by Zarour, Alzabut, and Al-Sarayreh in Information and Software Technology (drawing on 45 articles) identifies nine consistent best practices and five maturity models, all consistent with this framing; the foundational MLOps definition and architecture were established earlier by Kreuzberger, Kühl, and Hirschl (2023).</w:t>
      </w:r>
      <w:r w:rsidDel="00000000" w:rsidR="00000000" w:rsidRPr="00000000">
        <w:rPr>
          <w:rtl w:val="0"/>
        </w:rPr>
      </w:r>
    </w:p>
    <w:p w:rsidR="00000000" w:rsidDel="00000000" w:rsidP="00000000" w:rsidRDefault="00000000" w:rsidRPr="00000000" w14:paraId="00000093">
      <w:pPr>
        <w:pStyle w:val="Heading3"/>
        <w:rPr/>
      </w:pPr>
      <w:r w:rsidDel="00000000" w:rsidR="00000000" w:rsidRPr="00000000">
        <w:rPr>
          <w:rtl w:val="0"/>
        </w:rPr>
        <w:t xml:space="preserve">The MLOps core stack</w:t>
      </w:r>
    </w:p>
    <w:p w:rsidR="00000000" w:rsidDel="00000000" w:rsidP="00000000" w:rsidRDefault="00000000" w:rsidRPr="00000000" w14:paraId="0000009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Version control for code, data, features, and models — not just code in Git but data lineage via DVC or lakeFS, feature definitions in a feature store, and models in a model registry with semantic versioning.</w:t>
      </w:r>
      <w:r w:rsidDel="00000000" w:rsidR="00000000" w:rsidRPr="00000000">
        <w:rPr>
          <w:rtl w:val="0"/>
        </w:rPr>
      </w:r>
    </w:p>
    <w:p w:rsidR="00000000" w:rsidDel="00000000" w:rsidP="00000000" w:rsidRDefault="00000000" w:rsidRPr="00000000" w14:paraId="0000009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CI/CD pipelines that test, validate, and deploy entire model packages automatically — including automated checks for performance, fairness, and bias before promotion.</w:t>
      </w:r>
      <w:r w:rsidDel="00000000" w:rsidR="00000000" w:rsidRPr="00000000">
        <w:rPr>
          <w:rtl w:val="0"/>
        </w:rPr>
      </w:r>
    </w:p>
    <w:p w:rsidR="00000000" w:rsidDel="00000000" w:rsidP="00000000" w:rsidRDefault="00000000" w:rsidRPr="00000000" w14:paraId="0000009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Continuous training (CT) triggered when new data arrives or when performance degrades — the discipline-defining capability that distinguishes MLOps from generic DevOps.</w:t>
      </w:r>
      <w:r w:rsidDel="00000000" w:rsidR="00000000" w:rsidRPr="00000000">
        <w:rPr>
          <w:rtl w:val="0"/>
        </w:rPr>
      </w:r>
    </w:p>
    <w:p w:rsidR="00000000" w:rsidDel="00000000" w:rsidP="00000000" w:rsidRDefault="00000000" w:rsidRPr="00000000" w14:paraId="0000009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Production monitoring for data drift, concept drift, accuracy decay, and feature distribution shift — typically using PSI, KS tests, or similar statistical measures with alerting.</w:t>
      </w:r>
      <w:r w:rsidDel="00000000" w:rsidR="00000000" w:rsidRPr="00000000">
        <w:rPr>
          <w:rtl w:val="0"/>
        </w:rPr>
      </w:r>
    </w:p>
    <w:p w:rsidR="00000000" w:rsidDel="00000000" w:rsidP="00000000" w:rsidRDefault="00000000" w:rsidRPr="00000000" w14:paraId="0000009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Feature stores that prevent training - serving skew, which is widely cited as the leading cause of silent model failure.</w:t>
      </w:r>
      <w:r w:rsidDel="00000000" w:rsidR="00000000" w:rsidRPr="00000000">
        <w:rPr>
          <w:rtl w:val="0"/>
        </w:rPr>
      </w:r>
    </w:p>
    <w:p w:rsidR="00000000" w:rsidDel="00000000" w:rsidP="00000000" w:rsidRDefault="00000000" w:rsidRPr="00000000" w14:paraId="0000009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Containerization and reproducible environments to eliminate "works on my machine" issues, plus canary and shadow deployments for safe rollout.</w:t>
      </w:r>
      <w:r w:rsidDel="00000000" w:rsidR="00000000" w:rsidRPr="00000000">
        <w:rPr>
          <w:rtl w:val="0"/>
        </w:rPr>
      </w:r>
    </w:p>
    <w:p w:rsidR="00000000" w:rsidDel="00000000" w:rsidP="00000000" w:rsidRDefault="00000000" w:rsidRPr="00000000" w14:paraId="0000009A">
      <w:pPr>
        <w:pStyle w:val="Heading2"/>
        <w:rPr/>
      </w:pPr>
      <w:r w:rsidDel="00000000" w:rsidR="00000000" w:rsidRPr="00000000">
        <w:rPr>
          <w:rtl w:val="0"/>
        </w:rPr>
        <w:t xml:space="preserve">6.2 Where Applied AI and MLOps overlap</w:t>
      </w:r>
    </w:p>
    <w:p w:rsidR="00000000" w:rsidDel="00000000" w:rsidP="00000000" w:rsidRDefault="00000000" w:rsidRPr="00000000" w14:paraId="0000009B">
      <w:pPr>
        <w:spacing w:after="160" w:before="80" w:line="300" w:lineRule="auto"/>
        <w:jc w:val="both"/>
        <w:rPr/>
      </w:pPr>
      <w:r w:rsidDel="00000000" w:rsidR="00000000" w:rsidRPr="00000000">
        <w:rPr>
          <w:color w:val="2d3748"/>
          <w:rtl w:val="0"/>
        </w:rPr>
        <w:t xml:space="preserve">The disciplines share a substantial center of gravity. Both require: end-to-end thinking from data through deployment; cross-functional collaboration between data, engineering, and business teams; rigorous measurement of model and system performance; governance for compliance and auditability; and continuous improvement rather than one-time delivery. McKinsey's high-performer profile and the MLOps maturity literature describe many of the same organizational behaviors using different vocabulary.</w:t>
      </w:r>
      <w:r w:rsidDel="00000000" w:rsidR="00000000" w:rsidRPr="00000000">
        <w:rPr>
          <w:rtl w:val="0"/>
        </w:rPr>
      </w:r>
    </w:p>
    <w:p w:rsidR="00000000" w:rsidDel="00000000" w:rsidP="00000000" w:rsidRDefault="00000000" w:rsidRPr="00000000" w14:paraId="0000009C">
      <w:pPr>
        <w:pStyle w:val="Heading2"/>
        <w:rPr/>
      </w:pPr>
      <w:r w:rsidDel="00000000" w:rsidR="00000000" w:rsidRPr="00000000">
        <w:rPr>
          <w:rtl w:val="0"/>
        </w:rPr>
        <w:t xml:space="preserve">6.3 Where they are fundamentally different</w:t>
      </w:r>
    </w:p>
    <w:tbl>
      <w:tblPr>
        <w:tblStyle w:val="Table3"/>
        <w:tblW w:w="936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400"/>
        <w:gridCol w:w="3480"/>
        <w:gridCol w:w="3480"/>
        <w:tblGridChange w:id="0">
          <w:tblGrid>
            <w:gridCol w:w="2400"/>
            <w:gridCol w:w="3480"/>
            <w:gridCol w:w="3480"/>
          </w:tblGrid>
        </w:tblGridChange>
      </w:tblGrid>
      <w:tr>
        <w:trPr>
          <w:cantSplit w:val="0"/>
          <w:tblHeader w:val="1"/>
        </w:trPr>
        <w:tc>
          <w:tcPr>
            <w:tcBorders>
              <w:top w:color="cbd5e0" w:space="0" w:sz="4" w:val="single"/>
              <w:left w:color="cbd5e0" w:space="0" w:sz="4" w:val="single"/>
              <w:bottom w:color="cbd5e0" w:space="0" w:sz="4" w:val="single"/>
              <w:right w:color="cbd5e0" w:space="0" w:sz="4" w:val="single"/>
            </w:tcBorders>
            <w:shd w:fill="1f3a5f" w:val="clear"/>
            <w:tcMar>
              <w:top w:w="100.0" w:type="dxa"/>
              <w:left w:w="140.0" w:type="dxa"/>
              <w:bottom w:w="100.0" w:type="dxa"/>
              <w:right w:w="140.0" w:type="dxa"/>
            </w:tcMar>
            <w:vAlign w:val="center"/>
          </w:tcPr>
          <w:p w:rsidR="00000000" w:rsidDel="00000000" w:rsidP="00000000" w:rsidRDefault="00000000" w:rsidRPr="00000000" w14:paraId="0000009D">
            <w:pPr>
              <w:spacing w:line="260" w:lineRule="auto"/>
              <w:rPr/>
            </w:pPr>
            <w:r w:rsidDel="00000000" w:rsidR="00000000" w:rsidRPr="00000000">
              <w:rPr>
                <w:b w:val="1"/>
                <w:bCs w:val="1"/>
                <w:color w:val="ffffff"/>
                <w:sz w:val="20"/>
                <w:szCs w:val="20"/>
                <w:rtl w:val="0"/>
              </w:rPr>
              <w:t xml:space="preserve">Dimension</w:t>
            </w:r>
            <w:r w:rsidDel="00000000" w:rsidR="00000000" w:rsidRPr="00000000">
              <w:rPr>
                <w:rtl w:val="0"/>
              </w:rPr>
            </w:r>
          </w:p>
        </w:tc>
        <w:tc>
          <w:tcPr>
            <w:tcBorders>
              <w:top w:color="cbd5e0" w:space="0" w:sz="4" w:val="single"/>
              <w:left w:color="cbd5e0" w:space="0" w:sz="4" w:val="single"/>
              <w:bottom w:color="cbd5e0" w:space="0" w:sz="4" w:val="single"/>
              <w:right w:color="cbd5e0" w:space="0" w:sz="4" w:val="single"/>
            </w:tcBorders>
            <w:shd w:fill="1f3a5f" w:val="clear"/>
            <w:tcMar>
              <w:top w:w="100.0" w:type="dxa"/>
              <w:left w:w="140.0" w:type="dxa"/>
              <w:bottom w:w="100.0" w:type="dxa"/>
              <w:right w:w="140.0" w:type="dxa"/>
            </w:tcMar>
            <w:vAlign w:val="center"/>
          </w:tcPr>
          <w:p w:rsidR="00000000" w:rsidDel="00000000" w:rsidP="00000000" w:rsidRDefault="00000000" w:rsidRPr="00000000" w14:paraId="0000009E">
            <w:pPr>
              <w:spacing w:line="260" w:lineRule="auto"/>
              <w:rPr/>
            </w:pPr>
            <w:r w:rsidDel="00000000" w:rsidR="00000000" w:rsidRPr="00000000">
              <w:rPr>
                <w:b w:val="1"/>
                <w:bCs w:val="1"/>
                <w:color w:val="ffffff"/>
                <w:sz w:val="20"/>
                <w:szCs w:val="20"/>
                <w:rtl w:val="0"/>
              </w:rPr>
              <w:t xml:space="preserve">Applied AI</w:t>
            </w:r>
            <w:r w:rsidDel="00000000" w:rsidR="00000000" w:rsidRPr="00000000">
              <w:rPr>
                <w:rtl w:val="0"/>
              </w:rPr>
            </w:r>
          </w:p>
        </w:tc>
        <w:tc>
          <w:tcPr>
            <w:tcBorders>
              <w:top w:color="cbd5e0" w:space="0" w:sz="4" w:val="single"/>
              <w:left w:color="cbd5e0" w:space="0" w:sz="4" w:val="single"/>
              <w:bottom w:color="cbd5e0" w:space="0" w:sz="4" w:val="single"/>
              <w:right w:color="cbd5e0" w:space="0" w:sz="4" w:val="single"/>
            </w:tcBorders>
            <w:shd w:fill="1f3a5f" w:val="clear"/>
            <w:tcMar>
              <w:top w:w="100.0" w:type="dxa"/>
              <w:left w:w="140.0" w:type="dxa"/>
              <w:bottom w:w="100.0" w:type="dxa"/>
              <w:right w:w="140.0" w:type="dxa"/>
            </w:tcMar>
            <w:vAlign w:val="center"/>
          </w:tcPr>
          <w:p w:rsidR="00000000" w:rsidDel="00000000" w:rsidP="00000000" w:rsidRDefault="00000000" w:rsidRPr="00000000" w14:paraId="0000009F">
            <w:pPr>
              <w:spacing w:line="260" w:lineRule="auto"/>
              <w:rPr/>
            </w:pPr>
            <w:r w:rsidDel="00000000" w:rsidR="00000000" w:rsidRPr="00000000">
              <w:rPr>
                <w:b w:val="1"/>
                <w:bCs w:val="1"/>
                <w:color w:val="ffffff"/>
                <w:sz w:val="20"/>
                <w:szCs w:val="20"/>
                <w:rtl w:val="0"/>
              </w:rPr>
              <w:t xml:space="preserve">MLOps</w:t>
            </w:r>
            <w:r w:rsidDel="00000000" w:rsidR="00000000" w:rsidRPr="00000000">
              <w:rPr>
                <w:rtl w:val="0"/>
              </w:rPr>
            </w:r>
          </w:p>
        </w:tc>
      </w:tr>
      <w:tr>
        <w:trPr>
          <w:cantSplit w:val="0"/>
          <w:tblHeader w:val="0"/>
        </w:trPr>
        <w:tc>
          <w:tcPr>
            <w:tcBorders>
              <w:top w:color="cbd5e0" w:space="0" w:sz="4" w:val="single"/>
              <w:left w:color="cbd5e0" w:space="0" w:sz="4" w:val="single"/>
              <w:bottom w:color="cbd5e0" w:space="0" w:sz="4" w:val="single"/>
              <w:right w:color="cbd5e0" w:space="0" w:sz="4" w:val="single"/>
            </w:tcBorders>
            <w:shd w:fill="edf2f7" w:val="clear"/>
            <w:tcMar>
              <w:top w:w="100.0" w:type="dxa"/>
              <w:left w:w="140.0" w:type="dxa"/>
              <w:bottom w:w="100.0" w:type="dxa"/>
              <w:right w:w="140.0" w:type="dxa"/>
            </w:tcMar>
            <w:vAlign w:val="center"/>
          </w:tcPr>
          <w:p w:rsidR="00000000" w:rsidDel="00000000" w:rsidP="00000000" w:rsidRDefault="00000000" w:rsidRPr="00000000" w14:paraId="000000A0">
            <w:pPr>
              <w:spacing w:line="260" w:lineRule="auto"/>
              <w:rPr/>
            </w:pPr>
            <w:r w:rsidDel="00000000" w:rsidR="00000000" w:rsidRPr="00000000">
              <w:rPr>
                <w:b w:val="1"/>
                <w:bCs w:val="1"/>
                <w:color w:val="2d3748"/>
                <w:sz w:val="20"/>
                <w:szCs w:val="20"/>
                <w:rtl w:val="0"/>
              </w:rPr>
              <w:t xml:space="preserve">Primary question</w:t>
            </w:r>
            <w:r w:rsidDel="00000000" w:rsidR="00000000" w:rsidRPr="00000000">
              <w:rPr>
                <w:rtl w:val="0"/>
              </w:rPr>
            </w:r>
          </w:p>
        </w:tc>
        <w:tc>
          <w:tcPr>
            <w:tcBorders>
              <w:top w:color="cbd5e0" w:space="0" w:sz="4" w:val="single"/>
              <w:left w:color="cbd5e0" w:space="0" w:sz="4" w:val="single"/>
              <w:bottom w:color="cbd5e0" w:space="0" w:sz="4" w:val="single"/>
              <w:right w:color="cbd5e0" w:space="0" w:sz="4" w:val="single"/>
            </w:tcBorders>
            <w:shd w:fill="edf2f7" w:val="clear"/>
            <w:tcMar>
              <w:top w:w="100.0" w:type="dxa"/>
              <w:left w:w="140.0" w:type="dxa"/>
              <w:bottom w:w="100.0" w:type="dxa"/>
              <w:right w:w="140.0" w:type="dxa"/>
            </w:tcMar>
            <w:vAlign w:val="center"/>
          </w:tcPr>
          <w:p w:rsidR="00000000" w:rsidDel="00000000" w:rsidP="00000000" w:rsidRDefault="00000000" w:rsidRPr="00000000" w14:paraId="000000A1">
            <w:pPr>
              <w:spacing w:line="260" w:lineRule="auto"/>
              <w:rPr/>
            </w:pPr>
            <w:r w:rsidDel="00000000" w:rsidR="00000000" w:rsidRPr="00000000">
              <w:rPr>
                <w:color w:val="2d3748"/>
                <w:sz w:val="20"/>
                <w:szCs w:val="20"/>
                <w:rtl w:val="0"/>
              </w:rPr>
              <w:t xml:space="preserve">"What problem are we solving, and is AI the right approach?"</w:t>
            </w:r>
            <w:r w:rsidDel="00000000" w:rsidR="00000000" w:rsidRPr="00000000">
              <w:rPr>
                <w:rtl w:val="0"/>
              </w:rPr>
            </w:r>
          </w:p>
        </w:tc>
        <w:tc>
          <w:tcPr>
            <w:tcBorders>
              <w:top w:color="cbd5e0" w:space="0" w:sz="4" w:val="single"/>
              <w:left w:color="cbd5e0" w:space="0" w:sz="4" w:val="single"/>
              <w:bottom w:color="cbd5e0" w:space="0" w:sz="4" w:val="single"/>
              <w:right w:color="cbd5e0" w:space="0" w:sz="4" w:val="single"/>
            </w:tcBorders>
            <w:shd w:fill="edf2f7" w:val="clear"/>
            <w:tcMar>
              <w:top w:w="100.0" w:type="dxa"/>
              <w:left w:w="140.0" w:type="dxa"/>
              <w:bottom w:w="100.0" w:type="dxa"/>
              <w:right w:w="140.0" w:type="dxa"/>
            </w:tcMar>
            <w:vAlign w:val="center"/>
          </w:tcPr>
          <w:p w:rsidR="00000000" w:rsidDel="00000000" w:rsidP="00000000" w:rsidRDefault="00000000" w:rsidRPr="00000000" w14:paraId="000000A2">
            <w:pPr>
              <w:spacing w:line="260" w:lineRule="auto"/>
              <w:rPr/>
            </w:pPr>
            <w:r w:rsidDel="00000000" w:rsidR="00000000" w:rsidRPr="00000000">
              <w:rPr>
                <w:color w:val="2d3748"/>
                <w:sz w:val="20"/>
                <w:szCs w:val="20"/>
                <w:rtl w:val="0"/>
              </w:rPr>
              <w:t xml:space="preserve">"How do we operate the resulting AI system reliably at scale?"</w:t>
            </w:r>
            <w:r w:rsidDel="00000000" w:rsidR="00000000" w:rsidRPr="00000000">
              <w:rPr>
                <w:rtl w:val="0"/>
              </w:rPr>
            </w:r>
          </w:p>
        </w:tc>
      </w:tr>
      <w:tr>
        <w:trPr>
          <w:cantSplit w:val="0"/>
          <w:tblHeader w:val="0"/>
        </w:trPr>
        <w:tc>
          <w:tcPr>
            <w:tcBorders>
              <w:top w:color="cbd5e0" w:space="0" w:sz="4" w:val="single"/>
              <w:left w:color="cbd5e0" w:space="0" w:sz="4" w:val="single"/>
              <w:bottom w:color="cbd5e0" w:space="0" w:sz="4" w:val="single"/>
              <w:right w:color="cbd5e0" w:space="0" w:sz="4" w:val="single"/>
            </w:tcBorders>
            <w:tcMar>
              <w:top w:w="100.0" w:type="dxa"/>
              <w:left w:w="140.0" w:type="dxa"/>
              <w:bottom w:w="100.0" w:type="dxa"/>
              <w:right w:w="140.0" w:type="dxa"/>
            </w:tcMar>
            <w:vAlign w:val="center"/>
          </w:tcPr>
          <w:p w:rsidR="00000000" w:rsidDel="00000000" w:rsidP="00000000" w:rsidRDefault="00000000" w:rsidRPr="00000000" w14:paraId="000000A3">
            <w:pPr>
              <w:spacing w:line="260" w:lineRule="auto"/>
              <w:rPr/>
            </w:pPr>
            <w:r w:rsidDel="00000000" w:rsidR="00000000" w:rsidRPr="00000000">
              <w:rPr>
                <w:b w:val="1"/>
                <w:bCs w:val="1"/>
                <w:color w:val="2d3748"/>
                <w:sz w:val="20"/>
                <w:szCs w:val="20"/>
                <w:rtl w:val="0"/>
              </w:rPr>
              <w:t xml:space="preserve">Center of gravity</w:t>
            </w:r>
            <w:r w:rsidDel="00000000" w:rsidR="00000000" w:rsidRPr="00000000">
              <w:rPr>
                <w:rtl w:val="0"/>
              </w:rPr>
            </w:r>
          </w:p>
        </w:tc>
        <w:tc>
          <w:tcPr>
            <w:tcBorders>
              <w:top w:color="cbd5e0" w:space="0" w:sz="4" w:val="single"/>
              <w:left w:color="cbd5e0" w:space="0" w:sz="4" w:val="single"/>
              <w:bottom w:color="cbd5e0" w:space="0" w:sz="4" w:val="single"/>
              <w:right w:color="cbd5e0" w:space="0" w:sz="4" w:val="single"/>
            </w:tcBorders>
            <w:tcMar>
              <w:top w:w="100.0" w:type="dxa"/>
              <w:left w:w="140.0" w:type="dxa"/>
              <w:bottom w:w="100.0" w:type="dxa"/>
              <w:right w:w="140.0" w:type="dxa"/>
            </w:tcMar>
            <w:vAlign w:val="center"/>
          </w:tcPr>
          <w:p w:rsidR="00000000" w:rsidDel="00000000" w:rsidP="00000000" w:rsidRDefault="00000000" w:rsidRPr="00000000" w14:paraId="000000A4">
            <w:pPr>
              <w:spacing w:line="260" w:lineRule="auto"/>
              <w:rPr/>
            </w:pPr>
            <w:r w:rsidDel="00000000" w:rsidR="00000000" w:rsidRPr="00000000">
              <w:rPr>
                <w:color w:val="2d3748"/>
                <w:sz w:val="20"/>
                <w:szCs w:val="20"/>
                <w:rtl w:val="0"/>
              </w:rPr>
              <w:t xml:space="preserve">Problem framing, technique selection, workflow integration, value capture</w:t>
            </w:r>
            <w:r w:rsidDel="00000000" w:rsidR="00000000" w:rsidRPr="00000000">
              <w:rPr>
                <w:rtl w:val="0"/>
              </w:rPr>
            </w:r>
          </w:p>
        </w:tc>
        <w:tc>
          <w:tcPr>
            <w:tcBorders>
              <w:top w:color="cbd5e0" w:space="0" w:sz="4" w:val="single"/>
              <w:left w:color="cbd5e0" w:space="0" w:sz="4" w:val="single"/>
              <w:bottom w:color="cbd5e0" w:space="0" w:sz="4" w:val="single"/>
              <w:right w:color="cbd5e0" w:space="0" w:sz="4" w:val="single"/>
            </w:tcBorders>
            <w:tcMar>
              <w:top w:w="100.0" w:type="dxa"/>
              <w:left w:w="140.0" w:type="dxa"/>
              <w:bottom w:w="100.0" w:type="dxa"/>
              <w:right w:w="140.0" w:type="dxa"/>
            </w:tcMar>
            <w:vAlign w:val="center"/>
          </w:tcPr>
          <w:p w:rsidR="00000000" w:rsidDel="00000000" w:rsidP="00000000" w:rsidRDefault="00000000" w:rsidRPr="00000000" w14:paraId="000000A5">
            <w:pPr>
              <w:spacing w:line="260" w:lineRule="auto"/>
              <w:rPr/>
            </w:pPr>
            <w:r w:rsidDel="00000000" w:rsidR="00000000" w:rsidRPr="00000000">
              <w:rPr>
                <w:color w:val="2d3748"/>
                <w:sz w:val="20"/>
                <w:szCs w:val="20"/>
                <w:rtl w:val="0"/>
              </w:rPr>
              <w:t xml:space="preserve">Pipelines, versioning, monitoring, automated retraining, governance tooling</w:t>
            </w:r>
            <w:r w:rsidDel="00000000" w:rsidR="00000000" w:rsidRPr="00000000">
              <w:rPr>
                <w:rtl w:val="0"/>
              </w:rPr>
            </w:r>
          </w:p>
        </w:tc>
      </w:tr>
      <w:tr>
        <w:trPr>
          <w:cantSplit w:val="0"/>
          <w:tblHeader w:val="0"/>
        </w:trPr>
        <w:tc>
          <w:tcPr>
            <w:tcBorders>
              <w:top w:color="cbd5e0" w:space="0" w:sz="4" w:val="single"/>
              <w:left w:color="cbd5e0" w:space="0" w:sz="4" w:val="single"/>
              <w:bottom w:color="cbd5e0" w:space="0" w:sz="4" w:val="single"/>
              <w:right w:color="cbd5e0" w:space="0" w:sz="4" w:val="single"/>
            </w:tcBorders>
            <w:shd w:fill="edf2f7" w:val="clear"/>
            <w:tcMar>
              <w:top w:w="100.0" w:type="dxa"/>
              <w:left w:w="140.0" w:type="dxa"/>
              <w:bottom w:w="100.0" w:type="dxa"/>
              <w:right w:w="140.0" w:type="dxa"/>
            </w:tcMar>
            <w:vAlign w:val="center"/>
          </w:tcPr>
          <w:p w:rsidR="00000000" w:rsidDel="00000000" w:rsidP="00000000" w:rsidRDefault="00000000" w:rsidRPr="00000000" w14:paraId="000000A6">
            <w:pPr>
              <w:spacing w:line="260" w:lineRule="auto"/>
              <w:rPr/>
            </w:pPr>
            <w:r w:rsidDel="00000000" w:rsidR="00000000" w:rsidRPr="00000000">
              <w:rPr>
                <w:b w:val="1"/>
                <w:bCs w:val="1"/>
                <w:color w:val="2d3748"/>
                <w:sz w:val="20"/>
                <w:szCs w:val="20"/>
                <w:rtl w:val="0"/>
              </w:rPr>
              <w:t xml:space="preserve">Lead disciplines</w:t>
            </w:r>
            <w:r w:rsidDel="00000000" w:rsidR="00000000" w:rsidRPr="00000000">
              <w:rPr>
                <w:rtl w:val="0"/>
              </w:rPr>
            </w:r>
          </w:p>
        </w:tc>
        <w:tc>
          <w:tcPr>
            <w:tcBorders>
              <w:top w:color="cbd5e0" w:space="0" w:sz="4" w:val="single"/>
              <w:left w:color="cbd5e0" w:space="0" w:sz="4" w:val="single"/>
              <w:bottom w:color="cbd5e0" w:space="0" w:sz="4" w:val="single"/>
              <w:right w:color="cbd5e0" w:space="0" w:sz="4" w:val="single"/>
            </w:tcBorders>
            <w:shd w:fill="edf2f7" w:val="clear"/>
            <w:tcMar>
              <w:top w:w="100.0" w:type="dxa"/>
              <w:left w:w="140.0" w:type="dxa"/>
              <w:bottom w:w="100.0" w:type="dxa"/>
              <w:right w:w="140.0" w:type="dxa"/>
            </w:tcMar>
            <w:vAlign w:val="center"/>
          </w:tcPr>
          <w:p w:rsidR="00000000" w:rsidDel="00000000" w:rsidP="00000000" w:rsidRDefault="00000000" w:rsidRPr="00000000" w14:paraId="000000A7">
            <w:pPr>
              <w:spacing w:line="260" w:lineRule="auto"/>
              <w:rPr/>
            </w:pPr>
            <w:r w:rsidDel="00000000" w:rsidR="00000000" w:rsidRPr="00000000">
              <w:rPr>
                <w:color w:val="2d3748"/>
                <w:sz w:val="20"/>
                <w:szCs w:val="20"/>
                <w:rtl w:val="0"/>
              </w:rPr>
              <w:t xml:space="preserve">Business domain experts, data scientists, product managers, change leaders</w:t>
            </w:r>
            <w:r w:rsidDel="00000000" w:rsidR="00000000" w:rsidRPr="00000000">
              <w:rPr>
                <w:rtl w:val="0"/>
              </w:rPr>
            </w:r>
          </w:p>
        </w:tc>
        <w:tc>
          <w:tcPr>
            <w:tcBorders>
              <w:top w:color="cbd5e0" w:space="0" w:sz="4" w:val="single"/>
              <w:left w:color="cbd5e0" w:space="0" w:sz="4" w:val="single"/>
              <w:bottom w:color="cbd5e0" w:space="0" w:sz="4" w:val="single"/>
              <w:right w:color="cbd5e0" w:space="0" w:sz="4" w:val="single"/>
            </w:tcBorders>
            <w:shd w:fill="edf2f7" w:val="clear"/>
            <w:tcMar>
              <w:top w:w="100.0" w:type="dxa"/>
              <w:left w:w="140.0" w:type="dxa"/>
              <w:bottom w:w="100.0" w:type="dxa"/>
              <w:right w:w="140.0" w:type="dxa"/>
            </w:tcMar>
            <w:vAlign w:val="center"/>
          </w:tcPr>
          <w:p w:rsidR="00000000" w:rsidDel="00000000" w:rsidP="00000000" w:rsidRDefault="00000000" w:rsidRPr="00000000" w14:paraId="000000A8">
            <w:pPr>
              <w:spacing w:line="260" w:lineRule="auto"/>
              <w:rPr/>
            </w:pPr>
            <w:r w:rsidDel="00000000" w:rsidR="00000000" w:rsidRPr="00000000">
              <w:rPr>
                <w:color w:val="2d3748"/>
                <w:sz w:val="20"/>
                <w:szCs w:val="20"/>
                <w:rtl w:val="0"/>
              </w:rPr>
              <w:t xml:space="preserve">ML engineers, platform engineers, SREs, data engineers</w:t>
            </w:r>
            <w:r w:rsidDel="00000000" w:rsidR="00000000" w:rsidRPr="00000000">
              <w:rPr>
                <w:rtl w:val="0"/>
              </w:rPr>
            </w:r>
          </w:p>
        </w:tc>
      </w:tr>
      <w:tr>
        <w:trPr>
          <w:cantSplit w:val="0"/>
          <w:tblHeader w:val="0"/>
        </w:trPr>
        <w:tc>
          <w:tcPr>
            <w:tcBorders>
              <w:top w:color="cbd5e0" w:space="0" w:sz="4" w:val="single"/>
              <w:left w:color="cbd5e0" w:space="0" w:sz="4" w:val="single"/>
              <w:bottom w:color="cbd5e0" w:space="0" w:sz="4" w:val="single"/>
              <w:right w:color="cbd5e0" w:space="0" w:sz="4" w:val="single"/>
            </w:tcBorders>
            <w:tcMar>
              <w:top w:w="100.0" w:type="dxa"/>
              <w:left w:w="140.0" w:type="dxa"/>
              <w:bottom w:w="100.0" w:type="dxa"/>
              <w:right w:w="140.0" w:type="dxa"/>
            </w:tcMar>
            <w:vAlign w:val="center"/>
          </w:tcPr>
          <w:p w:rsidR="00000000" w:rsidDel="00000000" w:rsidP="00000000" w:rsidRDefault="00000000" w:rsidRPr="00000000" w14:paraId="000000A9">
            <w:pPr>
              <w:spacing w:line="260" w:lineRule="auto"/>
              <w:rPr/>
            </w:pPr>
            <w:r w:rsidDel="00000000" w:rsidR="00000000" w:rsidRPr="00000000">
              <w:rPr>
                <w:b w:val="1"/>
                <w:bCs w:val="1"/>
                <w:color w:val="2d3748"/>
                <w:sz w:val="20"/>
                <w:szCs w:val="20"/>
                <w:rtl w:val="0"/>
              </w:rPr>
              <w:t xml:space="preserve">Failure mode</w:t>
            </w:r>
            <w:r w:rsidDel="00000000" w:rsidR="00000000" w:rsidRPr="00000000">
              <w:rPr>
                <w:rtl w:val="0"/>
              </w:rPr>
            </w:r>
          </w:p>
        </w:tc>
        <w:tc>
          <w:tcPr>
            <w:tcBorders>
              <w:top w:color="cbd5e0" w:space="0" w:sz="4" w:val="single"/>
              <w:left w:color="cbd5e0" w:space="0" w:sz="4" w:val="single"/>
              <w:bottom w:color="cbd5e0" w:space="0" w:sz="4" w:val="single"/>
              <w:right w:color="cbd5e0" w:space="0" w:sz="4" w:val="single"/>
            </w:tcBorders>
            <w:tcMar>
              <w:top w:w="100.0" w:type="dxa"/>
              <w:left w:w="140.0" w:type="dxa"/>
              <w:bottom w:w="100.0" w:type="dxa"/>
              <w:right w:w="140.0" w:type="dxa"/>
            </w:tcMar>
            <w:vAlign w:val="center"/>
          </w:tcPr>
          <w:p w:rsidR="00000000" w:rsidDel="00000000" w:rsidP="00000000" w:rsidRDefault="00000000" w:rsidRPr="00000000" w14:paraId="000000AA">
            <w:pPr>
              <w:spacing w:line="260" w:lineRule="auto"/>
              <w:rPr/>
            </w:pPr>
            <w:r w:rsidDel="00000000" w:rsidR="00000000" w:rsidRPr="00000000">
              <w:rPr>
                <w:color w:val="2d3748"/>
                <w:sz w:val="20"/>
                <w:szCs w:val="20"/>
                <w:rtl w:val="0"/>
              </w:rPr>
              <w:t xml:space="preserve">Right model for the wrong problem; model irrelevant to workflow; no measurable business outcome</w:t>
            </w:r>
            <w:r w:rsidDel="00000000" w:rsidR="00000000" w:rsidRPr="00000000">
              <w:rPr>
                <w:rtl w:val="0"/>
              </w:rPr>
            </w:r>
          </w:p>
        </w:tc>
        <w:tc>
          <w:tcPr>
            <w:tcBorders>
              <w:top w:color="cbd5e0" w:space="0" w:sz="4" w:val="single"/>
              <w:left w:color="cbd5e0" w:space="0" w:sz="4" w:val="single"/>
              <w:bottom w:color="cbd5e0" w:space="0" w:sz="4" w:val="single"/>
              <w:right w:color="cbd5e0" w:space="0" w:sz="4" w:val="single"/>
            </w:tcBorders>
            <w:tcMar>
              <w:top w:w="100.0" w:type="dxa"/>
              <w:left w:w="140.0" w:type="dxa"/>
              <w:bottom w:w="100.0" w:type="dxa"/>
              <w:right w:w="140.0" w:type="dxa"/>
            </w:tcMar>
            <w:vAlign w:val="center"/>
          </w:tcPr>
          <w:p w:rsidR="00000000" w:rsidDel="00000000" w:rsidP="00000000" w:rsidRDefault="00000000" w:rsidRPr="00000000" w14:paraId="000000AB">
            <w:pPr>
              <w:spacing w:line="260" w:lineRule="auto"/>
              <w:rPr/>
            </w:pPr>
            <w:r w:rsidDel="00000000" w:rsidR="00000000" w:rsidRPr="00000000">
              <w:rPr>
                <w:color w:val="2d3748"/>
                <w:sz w:val="20"/>
                <w:szCs w:val="20"/>
                <w:rtl w:val="0"/>
              </w:rPr>
              <w:t xml:space="preserve">Right model in production that silently drifts, leaks, or can't be reproduced for audit</w:t>
            </w:r>
            <w:r w:rsidDel="00000000" w:rsidR="00000000" w:rsidRPr="00000000">
              <w:rPr>
                <w:rtl w:val="0"/>
              </w:rPr>
            </w:r>
          </w:p>
        </w:tc>
      </w:tr>
      <w:tr>
        <w:trPr>
          <w:cantSplit w:val="0"/>
          <w:tblHeader w:val="0"/>
        </w:trPr>
        <w:tc>
          <w:tcPr>
            <w:tcBorders>
              <w:top w:color="cbd5e0" w:space="0" w:sz="4" w:val="single"/>
              <w:left w:color="cbd5e0" w:space="0" w:sz="4" w:val="single"/>
              <w:bottom w:color="cbd5e0" w:space="0" w:sz="4" w:val="single"/>
              <w:right w:color="cbd5e0" w:space="0" w:sz="4" w:val="single"/>
            </w:tcBorders>
            <w:shd w:fill="edf2f7" w:val="clear"/>
            <w:tcMar>
              <w:top w:w="100.0" w:type="dxa"/>
              <w:left w:w="140.0" w:type="dxa"/>
              <w:bottom w:w="100.0" w:type="dxa"/>
              <w:right w:w="140.0" w:type="dxa"/>
            </w:tcMar>
            <w:vAlign w:val="center"/>
          </w:tcPr>
          <w:p w:rsidR="00000000" w:rsidDel="00000000" w:rsidP="00000000" w:rsidRDefault="00000000" w:rsidRPr="00000000" w14:paraId="000000AC">
            <w:pPr>
              <w:spacing w:line="260" w:lineRule="auto"/>
              <w:rPr/>
            </w:pPr>
            <w:r w:rsidDel="00000000" w:rsidR="00000000" w:rsidRPr="00000000">
              <w:rPr>
                <w:b w:val="1"/>
                <w:bCs w:val="1"/>
                <w:color w:val="2d3748"/>
                <w:sz w:val="20"/>
                <w:szCs w:val="20"/>
                <w:rtl w:val="0"/>
              </w:rPr>
              <w:t xml:space="preserve">Outputs</w:t>
            </w:r>
            <w:r w:rsidDel="00000000" w:rsidR="00000000" w:rsidRPr="00000000">
              <w:rPr>
                <w:rtl w:val="0"/>
              </w:rPr>
            </w:r>
          </w:p>
        </w:tc>
        <w:tc>
          <w:tcPr>
            <w:tcBorders>
              <w:top w:color="cbd5e0" w:space="0" w:sz="4" w:val="single"/>
              <w:left w:color="cbd5e0" w:space="0" w:sz="4" w:val="single"/>
              <w:bottom w:color="cbd5e0" w:space="0" w:sz="4" w:val="single"/>
              <w:right w:color="cbd5e0" w:space="0" w:sz="4" w:val="single"/>
            </w:tcBorders>
            <w:shd w:fill="edf2f7" w:val="clear"/>
            <w:tcMar>
              <w:top w:w="100.0" w:type="dxa"/>
              <w:left w:w="140.0" w:type="dxa"/>
              <w:bottom w:w="100.0" w:type="dxa"/>
              <w:right w:w="140.0" w:type="dxa"/>
            </w:tcMar>
            <w:vAlign w:val="center"/>
          </w:tcPr>
          <w:p w:rsidR="00000000" w:rsidDel="00000000" w:rsidP="00000000" w:rsidRDefault="00000000" w:rsidRPr="00000000" w14:paraId="000000AD">
            <w:pPr>
              <w:spacing w:line="260" w:lineRule="auto"/>
              <w:rPr/>
            </w:pPr>
            <w:r w:rsidDel="00000000" w:rsidR="00000000" w:rsidRPr="00000000">
              <w:rPr>
                <w:color w:val="2d3748"/>
                <w:sz w:val="20"/>
                <w:szCs w:val="20"/>
                <w:rtl w:val="0"/>
              </w:rPr>
              <w:t xml:space="preserve">Decisions about what to build, why, for whom, with what success criteria</w:t>
            </w:r>
            <w:r w:rsidDel="00000000" w:rsidR="00000000" w:rsidRPr="00000000">
              <w:rPr>
                <w:rtl w:val="0"/>
              </w:rPr>
            </w:r>
          </w:p>
        </w:tc>
        <w:tc>
          <w:tcPr>
            <w:tcBorders>
              <w:top w:color="cbd5e0" w:space="0" w:sz="4" w:val="single"/>
              <w:left w:color="cbd5e0" w:space="0" w:sz="4" w:val="single"/>
              <w:bottom w:color="cbd5e0" w:space="0" w:sz="4" w:val="single"/>
              <w:right w:color="cbd5e0" w:space="0" w:sz="4" w:val="single"/>
            </w:tcBorders>
            <w:shd w:fill="edf2f7" w:val="clear"/>
            <w:tcMar>
              <w:top w:w="100.0" w:type="dxa"/>
              <w:left w:w="140.0" w:type="dxa"/>
              <w:bottom w:w="100.0" w:type="dxa"/>
              <w:right w:w="140.0" w:type="dxa"/>
            </w:tcMar>
            <w:vAlign w:val="center"/>
          </w:tcPr>
          <w:p w:rsidR="00000000" w:rsidDel="00000000" w:rsidP="00000000" w:rsidRDefault="00000000" w:rsidRPr="00000000" w14:paraId="000000AE">
            <w:pPr>
              <w:spacing w:line="260" w:lineRule="auto"/>
              <w:rPr/>
            </w:pPr>
            <w:r w:rsidDel="00000000" w:rsidR="00000000" w:rsidRPr="00000000">
              <w:rPr>
                <w:color w:val="2d3748"/>
                <w:sz w:val="20"/>
                <w:szCs w:val="20"/>
                <w:rtl w:val="0"/>
              </w:rPr>
              <w:t xml:space="preserve">Reliable systems, reproducible artifacts, audit trails, monitored dashboards</w:t>
            </w:r>
            <w:r w:rsidDel="00000000" w:rsidR="00000000" w:rsidRPr="00000000">
              <w:rPr>
                <w:rtl w:val="0"/>
              </w:rPr>
            </w:r>
          </w:p>
        </w:tc>
      </w:tr>
      <w:tr>
        <w:trPr>
          <w:cantSplit w:val="0"/>
          <w:tblHeader w:val="0"/>
        </w:trPr>
        <w:tc>
          <w:tcPr>
            <w:tcBorders>
              <w:top w:color="cbd5e0" w:space="0" w:sz="4" w:val="single"/>
              <w:left w:color="cbd5e0" w:space="0" w:sz="4" w:val="single"/>
              <w:bottom w:color="cbd5e0" w:space="0" w:sz="4" w:val="single"/>
              <w:right w:color="cbd5e0" w:space="0" w:sz="4" w:val="single"/>
            </w:tcBorders>
            <w:tcMar>
              <w:top w:w="100.0" w:type="dxa"/>
              <w:left w:w="140.0" w:type="dxa"/>
              <w:bottom w:w="100.0" w:type="dxa"/>
              <w:right w:w="140.0" w:type="dxa"/>
            </w:tcMar>
            <w:vAlign w:val="center"/>
          </w:tcPr>
          <w:p w:rsidR="00000000" w:rsidDel="00000000" w:rsidP="00000000" w:rsidRDefault="00000000" w:rsidRPr="00000000" w14:paraId="000000AF">
            <w:pPr>
              <w:spacing w:line="260" w:lineRule="auto"/>
              <w:rPr/>
            </w:pPr>
            <w:r w:rsidDel="00000000" w:rsidR="00000000" w:rsidRPr="00000000">
              <w:rPr>
                <w:b w:val="1"/>
                <w:bCs w:val="1"/>
                <w:color w:val="2d3748"/>
                <w:sz w:val="20"/>
                <w:szCs w:val="20"/>
                <w:rtl w:val="0"/>
              </w:rPr>
              <w:t xml:space="preserve">Time horizon</w:t>
            </w:r>
            <w:r w:rsidDel="00000000" w:rsidR="00000000" w:rsidRPr="00000000">
              <w:rPr>
                <w:rtl w:val="0"/>
              </w:rPr>
            </w:r>
          </w:p>
        </w:tc>
        <w:tc>
          <w:tcPr>
            <w:tcBorders>
              <w:top w:color="cbd5e0" w:space="0" w:sz="4" w:val="single"/>
              <w:left w:color="cbd5e0" w:space="0" w:sz="4" w:val="single"/>
              <w:bottom w:color="cbd5e0" w:space="0" w:sz="4" w:val="single"/>
              <w:right w:color="cbd5e0" w:space="0" w:sz="4" w:val="single"/>
            </w:tcBorders>
            <w:tcMar>
              <w:top w:w="100.0" w:type="dxa"/>
              <w:left w:w="140.0" w:type="dxa"/>
              <w:bottom w:w="100.0" w:type="dxa"/>
              <w:right w:w="140.0" w:type="dxa"/>
            </w:tcMar>
            <w:vAlign w:val="center"/>
          </w:tcPr>
          <w:p w:rsidR="00000000" w:rsidDel="00000000" w:rsidP="00000000" w:rsidRDefault="00000000" w:rsidRPr="00000000" w14:paraId="000000B0">
            <w:pPr>
              <w:spacing w:line="260" w:lineRule="auto"/>
              <w:rPr/>
            </w:pPr>
            <w:r w:rsidDel="00000000" w:rsidR="00000000" w:rsidRPr="00000000">
              <w:rPr>
                <w:color w:val="2d3748"/>
                <w:sz w:val="20"/>
                <w:szCs w:val="20"/>
                <w:rtl w:val="0"/>
              </w:rPr>
              <w:t xml:space="preserve">Problem-life: months to years per problem domain</w:t>
            </w:r>
            <w:r w:rsidDel="00000000" w:rsidR="00000000" w:rsidRPr="00000000">
              <w:rPr>
                <w:rtl w:val="0"/>
              </w:rPr>
            </w:r>
          </w:p>
        </w:tc>
        <w:tc>
          <w:tcPr>
            <w:tcBorders>
              <w:top w:color="cbd5e0" w:space="0" w:sz="4" w:val="single"/>
              <w:left w:color="cbd5e0" w:space="0" w:sz="4" w:val="single"/>
              <w:bottom w:color="cbd5e0" w:space="0" w:sz="4" w:val="single"/>
              <w:right w:color="cbd5e0" w:space="0" w:sz="4" w:val="single"/>
            </w:tcBorders>
            <w:tcMar>
              <w:top w:w="100.0" w:type="dxa"/>
              <w:left w:w="140.0" w:type="dxa"/>
              <w:bottom w:w="100.0" w:type="dxa"/>
              <w:right w:w="140.0" w:type="dxa"/>
            </w:tcMar>
            <w:vAlign w:val="center"/>
          </w:tcPr>
          <w:p w:rsidR="00000000" w:rsidDel="00000000" w:rsidP="00000000" w:rsidRDefault="00000000" w:rsidRPr="00000000" w14:paraId="000000B1">
            <w:pPr>
              <w:spacing w:line="260" w:lineRule="auto"/>
              <w:rPr/>
            </w:pPr>
            <w:r w:rsidDel="00000000" w:rsidR="00000000" w:rsidRPr="00000000">
              <w:rPr>
                <w:color w:val="2d3748"/>
                <w:sz w:val="20"/>
                <w:szCs w:val="20"/>
                <w:rtl w:val="0"/>
              </w:rPr>
              <w:t xml:space="preserve">Model-life: continuous over each model's production lifecycle</w:t>
            </w:r>
            <w:r w:rsidDel="00000000" w:rsidR="00000000" w:rsidRPr="00000000">
              <w:rPr>
                <w:rtl w:val="0"/>
              </w:rPr>
            </w:r>
          </w:p>
        </w:tc>
      </w:tr>
      <w:tr>
        <w:trPr>
          <w:cantSplit w:val="0"/>
          <w:tblHeader w:val="0"/>
        </w:trPr>
        <w:tc>
          <w:tcPr>
            <w:tcBorders>
              <w:top w:color="cbd5e0" w:space="0" w:sz="4" w:val="single"/>
              <w:left w:color="cbd5e0" w:space="0" w:sz="4" w:val="single"/>
              <w:bottom w:color="cbd5e0" w:space="0" w:sz="4" w:val="single"/>
              <w:right w:color="cbd5e0" w:space="0" w:sz="4" w:val="single"/>
            </w:tcBorders>
            <w:shd w:fill="edf2f7" w:val="clear"/>
            <w:tcMar>
              <w:top w:w="100.0" w:type="dxa"/>
              <w:left w:w="140.0" w:type="dxa"/>
              <w:bottom w:w="100.0" w:type="dxa"/>
              <w:right w:w="140.0" w:type="dxa"/>
            </w:tcMar>
            <w:vAlign w:val="center"/>
          </w:tcPr>
          <w:p w:rsidR="00000000" w:rsidDel="00000000" w:rsidP="00000000" w:rsidRDefault="00000000" w:rsidRPr="00000000" w14:paraId="000000B2">
            <w:pPr>
              <w:spacing w:line="260" w:lineRule="auto"/>
              <w:rPr/>
            </w:pPr>
            <w:r w:rsidDel="00000000" w:rsidR="00000000" w:rsidRPr="00000000">
              <w:rPr>
                <w:b w:val="1"/>
                <w:bCs w:val="1"/>
                <w:color w:val="2d3748"/>
                <w:sz w:val="20"/>
                <w:szCs w:val="20"/>
                <w:rtl w:val="0"/>
              </w:rPr>
              <w:t xml:space="preserve">Closest cognate</w:t>
            </w:r>
            <w:r w:rsidDel="00000000" w:rsidR="00000000" w:rsidRPr="00000000">
              <w:rPr>
                <w:rtl w:val="0"/>
              </w:rPr>
            </w:r>
          </w:p>
        </w:tc>
        <w:tc>
          <w:tcPr>
            <w:tcBorders>
              <w:top w:color="cbd5e0" w:space="0" w:sz="4" w:val="single"/>
              <w:left w:color="cbd5e0" w:space="0" w:sz="4" w:val="single"/>
              <w:bottom w:color="cbd5e0" w:space="0" w:sz="4" w:val="single"/>
              <w:right w:color="cbd5e0" w:space="0" w:sz="4" w:val="single"/>
            </w:tcBorders>
            <w:shd w:fill="edf2f7" w:val="clear"/>
            <w:tcMar>
              <w:top w:w="100.0" w:type="dxa"/>
              <w:left w:w="140.0" w:type="dxa"/>
              <w:bottom w:w="100.0" w:type="dxa"/>
              <w:right w:w="140.0" w:type="dxa"/>
            </w:tcMar>
            <w:vAlign w:val="center"/>
          </w:tcPr>
          <w:p w:rsidR="00000000" w:rsidDel="00000000" w:rsidP="00000000" w:rsidRDefault="00000000" w:rsidRPr="00000000" w14:paraId="000000B3">
            <w:pPr>
              <w:spacing w:line="260" w:lineRule="auto"/>
              <w:rPr/>
            </w:pPr>
            <w:r w:rsidDel="00000000" w:rsidR="00000000" w:rsidRPr="00000000">
              <w:rPr>
                <w:color w:val="2d3748"/>
                <w:sz w:val="20"/>
                <w:szCs w:val="20"/>
                <w:rtl w:val="0"/>
              </w:rPr>
              <w:t xml:space="preserve">Product management + operations research + organizational design</w:t>
            </w:r>
            <w:r w:rsidDel="00000000" w:rsidR="00000000" w:rsidRPr="00000000">
              <w:rPr>
                <w:rtl w:val="0"/>
              </w:rPr>
            </w:r>
          </w:p>
        </w:tc>
        <w:tc>
          <w:tcPr>
            <w:tcBorders>
              <w:top w:color="cbd5e0" w:space="0" w:sz="4" w:val="single"/>
              <w:left w:color="cbd5e0" w:space="0" w:sz="4" w:val="single"/>
              <w:bottom w:color="cbd5e0" w:space="0" w:sz="4" w:val="single"/>
              <w:right w:color="cbd5e0" w:space="0" w:sz="4" w:val="single"/>
            </w:tcBorders>
            <w:shd w:fill="edf2f7" w:val="clear"/>
            <w:tcMar>
              <w:top w:w="100.0" w:type="dxa"/>
              <w:left w:w="140.0" w:type="dxa"/>
              <w:bottom w:w="100.0" w:type="dxa"/>
              <w:right w:w="140.0" w:type="dxa"/>
            </w:tcMar>
            <w:vAlign w:val="center"/>
          </w:tcPr>
          <w:p w:rsidR="00000000" w:rsidDel="00000000" w:rsidP="00000000" w:rsidRDefault="00000000" w:rsidRPr="00000000" w14:paraId="000000B4">
            <w:pPr>
              <w:spacing w:line="260" w:lineRule="auto"/>
              <w:rPr/>
            </w:pPr>
            <w:r w:rsidDel="00000000" w:rsidR="00000000" w:rsidRPr="00000000">
              <w:rPr>
                <w:color w:val="2d3748"/>
                <w:sz w:val="20"/>
                <w:szCs w:val="20"/>
                <w:rtl w:val="0"/>
              </w:rPr>
              <w:t xml:space="preserve">DevOps + data engineering + site reliability engineering</w:t>
            </w:r>
            <w:r w:rsidDel="00000000" w:rsidR="00000000" w:rsidRPr="00000000">
              <w:rPr>
                <w:rtl w:val="0"/>
              </w:rPr>
            </w:r>
          </w:p>
        </w:tc>
      </w:tr>
    </w:tbl>
    <w:p w:rsidR="00000000" w:rsidDel="00000000" w:rsidP="00000000" w:rsidRDefault="00000000" w:rsidRPr="00000000" w14:paraId="000000B5">
      <w:pPr>
        <w:spacing w:after="120" w:line="260" w:lineRule="auto"/>
        <w:ind w:left="240" w:firstLine="0"/>
        <w:rPr/>
      </w:pPr>
      <w:r w:rsidDel="00000000" w:rsidR="00000000" w:rsidRPr="00000000">
        <w:rPr>
          <w:color w:val="718096"/>
          <w:sz w:val="18"/>
          <w:szCs w:val="18"/>
          <w:rtl w:val="0"/>
        </w:rPr>
        <w:t xml:space="preserve">Table 3. Applied AI and MLOps as complementary but distinct disciplines.</w:t>
      </w:r>
      <w:r w:rsidDel="00000000" w:rsidR="00000000" w:rsidRPr="00000000">
        <w:rPr>
          <w:rtl w:val="0"/>
        </w:rPr>
      </w:r>
    </w:p>
    <w:p w:rsidR="00000000" w:rsidDel="00000000" w:rsidP="00000000" w:rsidRDefault="00000000" w:rsidRPr="00000000" w14:paraId="000000B6">
      <w:pPr>
        <w:rPr/>
      </w:pPr>
      <w:r w:rsidDel="00000000" w:rsidR="00000000" w:rsidRPr="00000000">
        <w:rPr>
          <w:rtl w:val="0"/>
        </w:rPr>
      </w:r>
    </w:p>
    <w:p w:rsidR="00000000" w:rsidDel="00000000" w:rsidP="00000000" w:rsidRDefault="00000000" w:rsidRPr="00000000" w14:paraId="000000B7">
      <w:pPr>
        <w:pStyle w:val="Heading2"/>
        <w:rPr/>
      </w:pPr>
      <w:r w:rsidDel="00000000" w:rsidR="00000000" w:rsidRPr="00000000">
        <w:rPr>
          <w:rtl w:val="0"/>
        </w:rPr>
        <w:t xml:space="preserve">6.4 Why the distinction matters in program design</w:t>
      </w:r>
    </w:p>
    <w:p w:rsidR="00000000" w:rsidDel="00000000" w:rsidP="00000000" w:rsidRDefault="00000000" w:rsidRPr="00000000" w14:paraId="000000B8">
      <w:pPr>
        <w:spacing w:after="160" w:before="80" w:line="300" w:lineRule="auto"/>
        <w:jc w:val="both"/>
        <w:rPr/>
      </w:pPr>
      <w:r w:rsidDel="00000000" w:rsidR="00000000" w:rsidRPr="00000000">
        <w:rPr>
          <w:color w:val="2d3748"/>
          <w:rtl w:val="0"/>
        </w:rPr>
        <w:t xml:space="preserve">Programs that conflate Applied AI with MLOps tend to over-staff the engineering substrate and under-staff problem selection, change management, and workflow redesign. This is consistent with the RAND finding that misunderstanding the problem is the most common root cause of failure. Conversely, programs that focus entirely on the Applied AI problem-framing layer often discover at deployment that they lack the operational discipline to keep production systems healthy — the fourth RAND root cause.</w:t>
      </w:r>
      <w:r w:rsidDel="00000000" w:rsidR="00000000" w:rsidRPr="00000000">
        <w:rPr>
          <w:rtl w:val="0"/>
        </w:rPr>
      </w:r>
    </w:p>
    <w:p w:rsidR="00000000" w:rsidDel="00000000" w:rsidP="00000000" w:rsidRDefault="00000000" w:rsidRPr="00000000" w14:paraId="000000B9">
      <w:pPr>
        <w:spacing w:after="160" w:before="80" w:line="300" w:lineRule="auto"/>
        <w:jc w:val="both"/>
        <w:rPr/>
      </w:pPr>
      <w:r w:rsidDel="00000000" w:rsidR="00000000" w:rsidRPr="00000000">
        <w:rPr>
          <w:color w:val="2d3748"/>
          <w:rtl w:val="0"/>
        </w:rPr>
        <w:t xml:space="preserve">The MLOps and Applied AI 2025 systematic literature both reach the same architectural conclusion: a mature program needs deliberate investment in both layers, and the bridge between them is most effective when problem-framing decisions explicitly produce MLOps requirements (latency budgets, retraining cadence, monitoring SLOs, escalation criteria) as part of the design output.</w:t>
      </w:r>
      <w:r w:rsidDel="00000000" w:rsidR="00000000" w:rsidRPr="00000000">
        <w:rPr>
          <w:rtl w:val="0"/>
        </w:rPr>
      </w:r>
    </w:p>
    <w:p w:rsidR="00000000" w:rsidDel="00000000" w:rsidP="00000000" w:rsidRDefault="00000000" w:rsidRPr="00000000" w14:paraId="000000BA">
      <w:pPr>
        <w:pStyle w:val="Heading2"/>
        <w:rPr/>
      </w:pPr>
      <w:r w:rsidDel="00000000" w:rsidR="00000000" w:rsidRPr="00000000">
        <w:rPr>
          <w:rtl w:val="0"/>
        </w:rPr>
        <w:t xml:space="preserve">6.5 The LLMOps emergence</w:t>
      </w:r>
    </w:p>
    <w:p w:rsidR="00000000" w:rsidDel="00000000" w:rsidP="00000000" w:rsidRDefault="00000000" w:rsidRPr="00000000" w14:paraId="000000BB">
      <w:pPr>
        <w:spacing w:after="160" w:before="80" w:line="300" w:lineRule="auto"/>
        <w:jc w:val="both"/>
        <w:rPr/>
      </w:pPr>
      <w:r w:rsidDel="00000000" w:rsidR="00000000" w:rsidRPr="00000000">
        <w:rPr>
          <w:color w:val="2d3748"/>
          <w:rtl w:val="0"/>
        </w:rPr>
        <w:t xml:space="preserve">Large language models have driven the emergence of LLMOps as a specialized subset of MLOps. Where MLOps assumes structured data, deterministic evaluation, and accuracy-style metrics, LLMOps must handle unstructured input, probabilistic and stylistic evaluation, prompt versioning, retrieval-augmented generation, hallucination monitoring, output safety, agent orchestration, and the cost-control challenges that come with token-priced inference.</w:t>
      </w:r>
      <w:r w:rsidDel="00000000" w:rsidR="00000000" w:rsidRPr="00000000">
        <w:rPr>
          <w:rtl w:val="0"/>
        </w:rPr>
      </w:r>
    </w:p>
    <w:p w:rsidR="00000000" w:rsidDel="00000000" w:rsidP="00000000" w:rsidRDefault="00000000" w:rsidRPr="00000000" w14:paraId="000000BC">
      <w:pPr>
        <w:spacing w:after="160" w:before="80" w:line="300" w:lineRule="auto"/>
        <w:jc w:val="both"/>
        <w:rPr/>
      </w:pPr>
      <w:r w:rsidDel="00000000" w:rsidR="00000000" w:rsidRPr="00000000">
        <w:rPr>
          <w:color w:val="2d3748"/>
          <w:rtl w:val="0"/>
        </w:rPr>
        <w:t xml:space="preserve">Practitioner consensus, summarized in the ZenML and W&amp;B references in this brief's sources, treats LLMOps as the same discipline as MLOps "applied to systems that are harder to evaluate, faster to degrade, and more expensive to operate." The Applied AI layer above it remains the same: the question is still what problem the system solves, whether AI is the right approach, and how the work is redesigned around it. The practical implication for program design is that LLMOps capability is increasingly necessary, but it does not displace MLOps for predictive systems or Applied AI as the problem-first discipline above both.</w:t>
      </w:r>
      <w:r w:rsidDel="00000000" w:rsidR="00000000" w:rsidRPr="00000000">
        <w:rPr>
          <w:rtl w:val="0"/>
        </w:rPr>
      </w:r>
    </w:p>
    <w:p w:rsidR="00000000" w:rsidDel="00000000" w:rsidP="00000000" w:rsidRDefault="00000000" w:rsidRPr="00000000" w14:paraId="000000BD">
      <w:pPr>
        <w:rPr/>
      </w:pPr>
      <w:r w:rsidDel="00000000" w:rsidR="00000000" w:rsidRPr="00000000">
        <w:rPr>
          <w:rtl w:val="0"/>
        </w:rPr>
      </w:r>
    </w:p>
    <w:p w:rsidR="00000000" w:rsidDel="00000000" w:rsidP="00000000" w:rsidRDefault="00000000" w:rsidRPr="00000000" w14:paraId="000000BE">
      <w:pPr>
        <w:pBdr>
          <w:left w:color="276749" w:space="8" w:sz="24" w:val="single"/>
        </w:pBdr>
        <w:shd w:fill="c6f6d5" w:val="clear"/>
        <w:spacing w:after="200" w:before="120" w:lineRule="auto"/>
        <w:ind w:left="240" w:right="240" w:firstLine="0"/>
        <w:rPr/>
      </w:pPr>
      <w:r w:rsidDel="00000000" w:rsidR="00000000" w:rsidRPr="00000000">
        <w:rPr>
          <w:b w:val="1"/>
          <w:bCs w:val="1"/>
          <w:color w:val="276749"/>
          <w:sz w:val="20"/>
          <w:szCs w:val="20"/>
          <w:rtl w:val="0"/>
        </w:rPr>
        <w:t xml:space="preserve">Synthesis  </w:t>
      </w:r>
      <w:r w:rsidDel="00000000" w:rsidR="00000000" w:rsidRPr="00000000">
        <w:rPr>
          <w:color w:val="2d3748"/>
          <w:sz w:val="21"/>
          <w:szCs w:val="21"/>
          <w:rtl w:val="0"/>
        </w:rPr>
        <w:t xml:space="preserve">Applied AI is the discipline of choosing the right problem and designing a solution that delivers measurable value. MLOps is the discipline of running the resulting system reliably and reproducibly. LLMOps is the MLOps subspecialty for generative systems. The three are layered, not interchangeable — and the dominant cause of program failure across the 2024–2026 evidence is investing in the lower layers without sufficient discipline in the upper one.</w:t>
      </w:r>
      <w:r w:rsidDel="00000000" w:rsidR="00000000" w:rsidRPr="00000000">
        <w:rPr>
          <w:rtl w:val="0"/>
        </w:rPr>
      </w:r>
    </w:p>
    <w:p w:rsidR="00000000" w:rsidDel="00000000" w:rsidP="00000000" w:rsidRDefault="00000000" w:rsidRPr="00000000" w14:paraId="000000BF">
      <w:pPr>
        <w:pStyle w:val="Heading1"/>
        <w:pBdr>
          <w:bottom w:color="1f3a5f" w:space="6" w:sz="12" w:val="single"/>
        </w:pBdr>
        <w:rPr/>
      </w:pPr>
      <w:r w:rsidDel="00000000" w:rsidR="00000000" w:rsidRPr="00000000">
        <w:rPr>
          <w:rtl w:val="0"/>
        </w:rPr>
        <w:t xml:space="preserve">An Alternative Theory of the Case</w:t>
      </w:r>
    </w:p>
    <w:p w:rsidR="00000000" w:rsidDel="00000000" w:rsidP="00000000" w:rsidRDefault="00000000" w:rsidRPr="00000000" w14:paraId="000000C0">
      <w:pPr>
        <w:spacing w:after="160" w:before="80" w:line="300" w:lineRule="auto"/>
        <w:jc w:val="both"/>
        <w:rPr/>
      </w:pPr>
      <w:r w:rsidDel="00000000" w:rsidR="00000000" w:rsidRPr="00000000">
        <w:rPr>
          <w:color w:val="2d3748"/>
          <w:rtl w:val="0"/>
        </w:rPr>
        <w:t xml:space="preserve">The failure statistics assembled above invite a deflationary reading — that AI is underdelivering — but the brief should hold a second interpretation alongside the first: many of these “failures” may simply be measurements taken too early in a predictable adoption curve. The productivity J-curve, formalized by Brynjolfsson, Rock, and Syverson (2021), describes how general-purpose technologies depress measured productivity before they raise it. GPTs require large complementary investments — workflow redesign, new business processes, human capital, and governance structures — that are intangible, costly, and almost entirely unmeasured in conventional accounting. While a firm is building those complements it books the costs but not yet the returns, so productivity appears to fall (the trough) before the benefits are harvested (the upswing). On this reading, the management scaffolding recommended in Sections 4 and 5 — workflow redesign, human-in-the-loop controls, the MLOps substrate, cross-framework governance registers — is not overhead that explains away the disappointing numbers; it is precisely the unmeasured intangible capital whose accumulation defines the bottom of the J.</w:t>
      </w:r>
      <w:r w:rsidDel="00000000" w:rsidR="00000000" w:rsidRPr="00000000">
        <w:rPr>
          <w:rtl w:val="0"/>
        </w:rPr>
      </w:r>
    </w:p>
    <w:p w:rsidR="00000000" w:rsidDel="00000000" w:rsidP="00000000" w:rsidRDefault="00000000" w:rsidRPr="00000000" w14:paraId="000000C1">
      <w:pPr>
        <w:spacing w:after="160" w:before="80" w:line="300" w:lineRule="auto"/>
        <w:jc w:val="both"/>
        <w:rPr/>
      </w:pPr>
      <w:r w:rsidDel="00000000" w:rsidR="00000000" w:rsidRPr="00000000">
        <w:rPr>
          <w:color w:val="2d3748"/>
          <w:rtl w:val="0"/>
        </w:rPr>
        <w:t xml:space="preserve">A second, complementary mechanism makes the trough deeper rather than merely hidden. McElheran, Yang, Kroff, and Brynjolfsson (2025), studying AI adoption across U.S. manufacturing establishments, document an organizational-disruption J-curve: adoption initially reduced productivity by an average of roughly 1.33 percentage points, with the steepest losses among older, established firms — and the abandonment of structured production-management practices accounted for nearly a third of those losses, while earlier adopters showed stronger growth later. The disruption is real, not just a measurement artifact: introducing AI breaks the routines that previously produced value, and rebuilding them takes time. Two honest caveats apply — that study examines predictive AI in manufacturing rather than generative systems, and its authors expressly note generative AI may follow different adoption patterns — so it is offered here as a mechanism, not as direct evidence about LLM projects.</w:t>
      </w:r>
      <w:r w:rsidDel="00000000" w:rsidR="00000000" w:rsidRPr="00000000">
        <w:rPr>
          <w:rtl w:val="0"/>
        </w:rPr>
      </w:r>
    </w:p>
    <w:p w:rsidR="00000000" w:rsidDel="00000000" w:rsidP="00000000" w:rsidRDefault="00000000" w:rsidRPr="00000000" w14:paraId="000000C2">
      <w:pPr>
        <w:spacing w:after="160" w:before="80" w:line="300" w:lineRule="auto"/>
        <w:jc w:val="both"/>
        <w:rPr/>
      </w:pPr>
      <w:r w:rsidDel="00000000" w:rsidR="00000000" w:rsidRPr="00000000">
        <w:rPr>
          <w:color w:val="2d3748"/>
          <w:rtl w:val="0"/>
        </w:rPr>
        <w:t xml:space="preserve">The timeline makes the trough hypothesis difficult to dismiss. The pretrained-transformer paradigm is genuinely young: the first GPT dates to mid-2018, the first broadly capable model (GPT-3) to 2020, and the instruction-tuned, enterprise-accessible form that most pilots actually use (ChatGPT/GPT-3.5) only to late 2022 — roughly three years of practical availability, and about five since the paradigm became capable at all. Against that short clock, the empirical ramp to value is long: Deloitte’s 2025 survey of 1,854 executives found that a typical AI use case takes two to four years to reach satisfactory ROI, versus the seven-to-twelve-month payback executives expect from conventional technology. If the usable technology is roughly three years old and the value ramp runs two years or more, then the large cohort of enterprise pilots launched in 2023–2024 has not yet had time to traverse the curve. The reasonable inference is not that 80–95% of these initiatives have failed outright, but that a substantial share of them remain in the trough — still absorbing the cost of complementary investment, not yet at the point where that investment is harvested. This does not excuse genuinely ill-conceived projects, nor does it contradict RAND’s finding that poor problem selection is the leading cause of true failure. But it reframes everything that precedes it: the brief’s recommendations are less a remedy for a failing technology than a map for traversing the predictable bottom of a general-purpose technology’s adoption cycle — and for reaching the upswing faster than rivals who mistake the trough for the destination.</w:t>
      </w:r>
      <w:r w:rsidDel="00000000" w:rsidR="00000000" w:rsidRPr="00000000">
        <w:rPr>
          <w:rtl w:val="0"/>
        </w:rPr>
      </w:r>
    </w:p>
    <w:p w:rsidR="00000000" w:rsidDel="00000000" w:rsidP="00000000" w:rsidRDefault="00000000" w:rsidRPr="00000000" w14:paraId="000000C3">
      <w:pPr>
        <w:pStyle w:val="Heading1"/>
        <w:pBdr>
          <w:bottom w:color="1f3a5f" w:space="6" w:sz="12" w:val="single"/>
        </w:pBdr>
        <w:rPr/>
      </w:pPr>
      <w:r w:rsidDel="00000000" w:rsidR="00000000" w:rsidRPr="00000000">
        <w:rPr>
          <w:rtl w:val="0"/>
        </w:rPr>
        <w:t xml:space="preserve">7. Synthesis and Implications</w:t>
      </w:r>
    </w:p>
    <w:p w:rsidR="00000000" w:rsidDel="00000000" w:rsidP="00000000" w:rsidRDefault="00000000" w:rsidRPr="00000000" w14:paraId="000000C4">
      <w:pPr>
        <w:spacing w:after="160" w:before="80" w:line="300" w:lineRule="auto"/>
        <w:jc w:val="both"/>
        <w:rPr/>
      </w:pPr>
      <w:r w:rsidDel="00000000" w:rsidR="00000000" w:rsidRPr="00000000">
        <w:rPr>
          <w:color w:val="2d3748"/>
          <w:rtl w:val="0"/>
        </w:rPr>
        <w:t xml:space="preserve">The evidence assembled in this brief points to a coherent and actionable synthesis. Applied AI is not in a winter — adoption is at record highs, and a documented minority of organizations are extracting significant, measured value. But the median outcome remains modest, and the failure rate, while methodologically contested in its precise figure, is undeniably elevated above conventional IT projects.</w:t>
      </w:r>
      <w:r w:rsidDel="00000000" w:rsidR="00000000" w:rsidRPr="00000000">
        <w:rPr>
          <w:rtl w:val="0"/>
        </w:rPr>
      </w:r>
    </w:p>
    <w:p w:rsidR="00000000" w:rsidDel="00000000" w:rsidP="00000000" w:rsidRDefault="00000000" w:rsidRPr="00000000" w14:paraId="000000C5">
      <w:pPr>
        <w:pStyle w:val="Heading2"/>
        <w:rPr/>
      </w:pPr>
      <w:r w:rsidDel="00000000" w:rsidR="00000000" w:rsidRPr="00000000">
        <w:rPr>
          <w:rtl w:val="0"/>
        </w:rPr>
        <w:t xml:space="preserve">7.1 The seven repeating practices of successful Applied AI programs</w:t>
      </w:r>
    </w:p>
    <w:p w:rsidR="00000000" w:rsidDel="00000000" w:rsidP="00000000" w:rsidRDefault="00000000" w:rsidRPr="00000000" w14:paraId="000000C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1"/>
          <w:bCs w:val="1"/>
          <w:i w:val="0"/>
          <w:iCs w:val="0"/>
          <w:smallCaps w:val="0"/>
          <w:strike w:val="0"/>
          <w:color w:val="2d3748"/>
          <w:sz w:val="22"/>
          <w:szCs w:val="22"/>
          <w:u w:val="none"/>
          <w:shd w:fill="auto" w:val="clear"/>
          <w:vertAlign w:val="baseline"/>
          <w:rtl w:val="0"/>
        </w:rPr>
        <w:t xml:space="preserve">Start from problems, not technology. </w:t>
      </w: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Have a written problem statement validated by domain experts before any modeling work begins. Commit to enduring problems, not seasonal ones.</w:t>
      </w:r>
      <w:r w:rsidDel="00000000" w:rsidR="00000000" w:rsidRPr="00000000">
        <w:rPr>
          <w:rtl w:val="0"/>
        </w:rPr>
      </w:r>
    </w:p>
    <w:p w:rsidR="00000000" w:rsidDel="00000000" w:rsidP="00000000" w:rsidRDefault="00000000" w:rsidRPr="00000000" w14:paraId="000000C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1"/>
          <w:bCs w:val="1"/>
          <w:i w:val="0"/>
          <w:iCs w:val="0"/>
          <w:smallCaps w:val="0"/>
          <w:strike w:val="0"/>
          <w:color w:val="2d3748"/>
          <w:sz w:val="22"/>
          <w:szCs w:val="22"/>
          <w:u w:val="none"/>
          <w:shd w:fill="auto" w:val="clear"/>
          <w:vertAlign w:val="baseline"/>
          <w:rtl w:val="0"/>
        </w:rPr>
        <w:t xml:space="preserve">Treat data readiness as architecture, not remediation. </w:t>
      </w: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Design data and AI together. Cleaning data downstream of a fragmented architecture will not survive contact with production.</w:t>
      </w:r>
      <w:r w:rsidDel="00000000" w:rsidR="00000000" w:rsidRPr="00000000">
        <w:rPr>
          <w:rtl w:val="0"/>
        </w:rPr>
      </w:r>
    </w:p>
    <w:p w:rsidR="00000000" w:rsidDel="00000000" w:rsidP="00000000" w:rsidRDefault="00000000" w:rsidRPr="00000000" w14:paraId="000000C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1"/>
          <w:bCs w:val="1"/>
          <w:i w:val="0"/>
          <w:iCs w:val="0"/>
          <w:smallCaps w:val="0"/>
          <w:strike w:val="0"/>
          <w:color w:val="2d3748"/>
          <w:sz w:val="22"/>
          <w:szCs w:val="22"/>
          <w:u w:val="none"/>
          <w:shd w:fill="auto" w:val="clear"/>
          <w:vertAlign w:val="baseline"/>
          <w:rtl w:val="0"/>
        </w:rPr>
        <w:t xml:space="preserve">Redesign the workflow around the AI. </w:t>
      </w: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This is the single strongest differentiator in McKinsey's data. Layering AI onto unchanged processes produces use-case-level wins that do not aggregate to enterprise impact.</w:t>
      </w:r>
      <w:r w:rsidDel="00000000" w:rsidR="00000000" w:rsidRPr="00000000">
        <w:rPr>
          <w:rtl w:val="0"/>
        </w:rPr>
      </w:r>
    </w:p>
    <w:p w:rsidR="00000000" w:rsidDel="00000000" w:rsidP="00000000" w:rsidRDefault="00000000" w:rsidRPr="00000000" w14:paraId="000000C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1"/>
          <w:bCs w:val="1"/>
          <w:i w:val="0"/>
          <w:iCs w:val="0"/>
          <w:smallCaps w:val="0"/>
          <w:strike w:val="0"/>
          <w:color w:val="2d3748"/>
          <w:sz w:val="22"/>
          <w:szCs w:val="22"/>
          <w:u w:val="none"/>
          <w:shd w:fill="auto" w:val="clear"/>
          <w:vertAlign w:val="baseline"/>
          <w:rtl w:val="0"/>
        </w:rPr>
        <w:t xml:space="preserve">Engineer human-in-the-loop as a designed control. </w:t>
      </w: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Not a fallback for inadequate models — a structured escalation surface that lets the system operate confidently in-domain and hand off cleanly out-of-domain.</w:t>
      </w:r>
      <w:r w:rsidDel="00000000" w:rsidR="00000000" w:rsidRPr="00000000">
        <w:rPr>
          <w:rtl w:val="0"/>
        </w:rPr>
      </w:r>
    </w:p>
    <w:p w:rsidR="00000000" w:rsidDel="00000000" w:rsidP="00000000" w:rsidRDefault="00000000" w:rsidRPr="00000000" w14:paraId="000000C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1"/>
          <w:bCs w:val="1"/>
          <w:i w:val="0"/>
          <w:iCs w:val="0"/>
          <w:smallCaps w:val="0"/>
          <w:strike w:val="0"/>
          <w:color w:val="2d3748"/>
          <w:sz w:val="22"/>
          <w:szCs w:val="22"/>
          <w:u w:val="none"/>
          <w:shd w:fill="auto" w:val="clear"/>
          <w:vertAlign w:val="baseline"/>
          <w:rtl w:val="0"/>
        </w:rPr>
        <w:t xml:space="preserve">Build the MLOps substrate before scale becomes painful. </w:t>
      </w: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Version everything (code, data, features, models). Monitor for drift. Automate retraining. Audit-ready lineage is now a procurement requirement in regulated buyers.</w:t>
      </w:r>
      <w:r w:rsidDel="00000000" w:rsidR="00000000" w:rsidRPr="00000000">
        <w:rPr>
          <w:rtl w:val="0"/>
        </w:rPr>
      </w:r>
    </w:p>
    <w:p w:rsidR="00000000" w:rsidDel="00000000" w:rsidP="00000000" w:rsidRDefault="00000000" w:rsidRPr="00000000" w14:paraId="000000C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1"/>
          <w:bCs w:val="1"/>
          <w:i w:val="0"/>
          <w:iCs w:val="0"/>
          <w:smallCaps w:val="0"/>
          <w:strike w:val="0"/>
          <w:color w:val="2d3748"/>
          <w:sz w:val="22"/>
          <w:szCs w:val="22"/>
          <w:u w:val="none"/>
          <w:shd w:fill="auto" w:val="clear"/>
          <w:vertAlign w:val="baseline"/>
          <w:rtl w:val="0"/>
        </w:rPr>
        <w:t xml:space="preserve">Map governance frameworks together. </w:t>
      </w: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Run a single cross-framework AI register against NIST AI RMF, ISO 42001, and the EU AI Act (plus sector regulation). Compliance is cheaper as architecture than as remediation.</w:t>
      </w:r>
      <w:r w:rsidDel="00000000" w:rsidR="00000000" w:rsidRPr="00000000">
        <w:rPr>
          <w:rtl w:val="0"/>
        </w:rPr>
      </w:r>
    </w:p>
    <w:p w:rsidR="00000000" w:rsidDel="00000000" w:rsidP="00000000" w:rsidRDefault="00000000" w:rsidRPr="00000000" w14:paraId="000000C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1"/>
          <w:bCs w:val="1"/>
          <w:i w:val="0"/>
          <w:iCs w:val="0"/>
          <w:smallCaps w:val="0"/>
          <w:strike w:val="0"/>
          <w:color w:val="2d3748"/>
          <w:sz w:val="22"/>
          <w:szCs w:val="22"/>
          <w:u w:val="none"/>
          <w:shd w:fill="auto" w:val="clear"/>
          <w:vertAlign w:val="baseline"/>
          <w:rtl w:val="0"/>
        </w:rPr>
        <w:t xml:space="preserve">Measure outcomes, not activity. </w:t>
      </w: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Leading indicators of adoption + quality indicators of model behavior + business KPIs of impact. Where measurement exists, value rises and risk incidents fall.</w:t>
      </w:r>
      <w:r w:rsidDel="00000000" w:rsidR="00000000" w:rsidRPr="00000000">
        <w:rPr>
          <w:rtl w:val="0"/>
        </w:rPr>
      </w:r>
    </w:p>
    <w:p w:rsidR="00000000" w:rsidDel="00000000" w:rsidP="00000000" w:rsidRDefault="00000000" w:rsidRPr="00000000" w14:paraId="000000CD">
      <w:pPr>
        <w:pStyle w:val="Heading2"/>
        <w:rPr/>
      </w:pPr>
      <w:r w:rsidDel="00000000" w:rsidR="00000000" w:rsidRPr="00000000">
        <w:rPr>
          <w:rtl w:val="0"/>
        </w:rPr>
        <w:t xml:space="preserve">7.2 Implications for industrial and field-service contexts</w:t>
      </w:r>
    </w:p>
    <w:p w:rsidR="00000000" w:rsidDel="00000000" w:rsidP="00000000" w:rsidRDefault="00000000" w:rsidRPr="00000000" w14:paraId="000000CE">
      <w:pPr>
        <w:spacing w:after="160" w:before="80" w:line="300" w:lineRule="auto"/>
        <w:jc w:val="both"/>
        <w:rPr/>
      </w:pPr>
      <w:r w:rsidDel="00000000" w:rsidR="00000000" w:rsidRPr="00000000">
        <w:rPr>
          <w:color w:val="2d3748"/>
          <w:rtl w:val="0"/>
        </w:rPr>
        <w:t xml:space="preserve">Industrial settings — manufacturing, field service, complex equipment maintenance — present a specific profile within Applied AI. Data is often plentiful but unstructured (manuals, service logs, technician notes), tolerance for error is low (safety, downtime cost, regulatory exposure), and the workflows that AI can transform are mature, instrumented, and reliant on tacit human expertise. The case for problem-first methodology is therefore stronger in industrial contexts than in marketing or customer service, where rapid iteration tolerates imperfect framing.</w:t>
      </w:r>
      <w:r w:rsidDel="00000000" w:rsidR="00000000" w:rsidRPr="00000000">
        <w:rPr>
          <w:rtl w:val="0"/>
        </w:rPr>
      </w:r>
    </w:p>
    <w:p w:rsidR="00000000" w:rsidDel="00000000" w:rsidP="00000000" w:rsidRDefault="00000000" w:rsidRPr="00000000" w14:paraId="000000CF">
      <w:pPr>
        <w:spacing w:after="160" w:before="80" w:line="300" w:lineRule="auto"/>
        <w:jc w:val="both"/>
        <w:rPr/>
      </w:pPr>
      <w:r w:rsidDel="00000000" w:rsidR="00000000" w:rsidRPr="00000000">
        <w:rPr>
          <w:color w:val="2d3748"/>
          <w:rtl w:val="0"/>
        </w:rPr>
        <w:t xml:space="preserve">The successful industrial cases in the literature — Michelin's 200 use cases, the Aitomatic field-engineer Domain Expert Agent, the Lighthouse Factories described in the Industrial AI literature — share a common shape: AI is treated as a tool for amplifying scarce expert knowledge across a wide technician or operator population, embedded in workflows that have been redesigned around the new pattern, and operationalized with the MLOps discipline needed to keep the system trustworthy over time. The structural problem this brief was commissioned to examine — Applied AI and its relationship to MLOps — finds its sharpest expression in exactly this kind of setting, where neither discipline alone is sufficient.</w:t>
      </w:r>
      <w:r w:rsidDel="00000000" w:rsidR="00000000" w:rsidRPr="00000000">
        <w:rPr>
          <w:rtl w:val="0"/>
        </w:rPr>
      </w:r>
    </w:p>
    <w:p w:rsidR="00000000" w:rsidDel="00000000" w:rsidP="00000000" w:rsidRDefault="00000000" w:rsidRPr="00000000" w14:paraId="000000D0">
      <w:pPr>
        <w:rPr/>
      </w:pPr>
      <w:r w:rsidDel="00000000" w:rsidR="00000000" w:rsidRPr="00000000">
        <w:rPr>
          <w:rtl w:val="0"/>
        </w:rPr>
      </w:r>
    </w:p>
    <w:p w:rsidR="00000000" w:rsidDel="00000000" w:rsidP="00000000" w:rsidRDefault="00000000" w:rsidRPr="00000000" w14:paraId="000000D1">
      <w:pPr>
        <w:pBdr>
          <w:left w:color="2e75b6" w:space="8" w:sz="24" w:val="single"/>
        </w:pBdr>
        <w:shd w:fill="edf2f7" w:val="clear"/>
        <w:spacing w:after="200" w:before="120" w:lineRule="auto"/>
        <w:ind w:left="240" w:right="240" w:firstLine="0"/>
        <w:rPr/>
      </w:pPr>
      <w:r w:rsidDel="00000000" w:rsidR="00000000" w:rsidRPr="00000000">
        <w:rPr>
          <w:b w:val="1"/>
          <w:bCs w:val="1"/>
          <w:color w:val="2e75b6"/>
          <w:sz w:val="20"/>
          <w:szCs w:val="20"/>
          <w:rtl w:val="0"/>
        </w:rPr>
        <w:t xml:space="preserve">Closing observation: </w:t>
      </w:r>
      <w:r w:rsidDel="00000000" w:rsidR="00000000" w:rsidRPr="00000000">
        <w:rPr>
          <w:color w:val="2d3748"/>
          <w:sz w:val="21"/>
          <w:szCs w:val="21"/>
          <w:rtl w:val="0"/>
        </w:rPr>
        <w:t xml:space="preserve">The evidence does not say that AI is failing. It says that organizations are still learning how to apply it well. The methods that distinguish the successful minority are not exotic — they are recognizable from decades of engineering, change management, and operations research practice, adapted to the probabilistic, data-dependent nature of AI. The opportunity for industrial practitioners is to apply those methods with discipline, rather than to wait for the technology itself to make the problem easier.</w:t>
      </w:r>
      <w:r w:rsidDel="00000000" w:rsidR="00000000" w:rsidRPr="00000000">
        <w:rPr>
          <w:rtl w:val="0"/>
        </w:rPr>
      </w:r>
    </w:p>
    <w:p w:rsidR="00000000" w:rsidDel="00000000" w:rsidP="00000000" w:rsidRDefault="00000000" w:rsidRPr="00000000" w14:paraId="000000D2">
      <w:pPr>
        <w:rPr/>
      </w:pPr>
      <w:r w:rsidDel="00000000" w:rsidR="00000000" w:rsidRPr="00000000">
        <w:br w:type="page"/>
      </w:r>
      <w:r w:rsidDel="00000000" w:rsidR="00000000" w:rsidRPr="00000000">
        <w:rPr>
          <w:rtl w:val="0"/>
        </w:rPr>
      </w:r>
    </w:p>
    <w:p w:rsidR="00000000" w:rsidDel="00000000" w:rsidP="00000000" w:rsidRDefault="00000000" w:rsidRPr="00000000" w14:paraId="000000D3">
      <w:pPr>
        <w:pStyle w:val="Heading1"/>
        <w:pBdr>
          <w:bottom w:color="1f3a5f" w:space="6" w:sz="12" w:val="single"/>
        </w:pBdr>
        <w:rPr/>
      </w:pPr>
      <w:r w:rsidDel="00000000" w:rsidR="00000000" w:rsidRPr="00000000">
        <w:rPr>
          <w:rtl w:val="0"/>
        </w:rPr>
        <w:t xml:space="preserve">Sources</w:t>
      </w:r>
    </w:p>
    <w:p w:rsidR="00000000" w:rsidDel="00000000" w:rsidP="00000000" w:rsidRDefault="00000000" w:rsidRPr="00000000" w14:paraId="000000D4">
      <w:pPr>
        <w:spacing w:after="160" w:before="80" w:line="300" w:lineRule="auto"/>
        <w:jc w:val="both"/>
        <w:rPr/>
      </w:pPr>
      <w:r w:rsidDel="00000000" w:rsidR="00000000" w:rsidRPr="00000000">
        <w:rPr>
          <w:color w:val="2d3748"/>
          <w:rtl w:val="0"/>
        </w:rPr>
        <w:t xml:space="preserve">Sources are organized by category. Academic and standards-body sources are listed first, followed by reputable industry research, then journalistic reporting. Where a finding is contested or methodologically challenged, both the finding and the critique are cited.</w:t>
      </w:r>
      <w:r w:rsidDel="00000000" w:rsidR="00000000" w:rsidRPr="00000000">
        <w:rPr>
          <w:rtl w:val="0"/>
        </w:rPr>
      </w:r>
    </w:p>
    <w:p w:rsidR="00000000" w:rsidDel="00000000" w:rsidP="00000000" w:rsidRDefault="00000000" w:rsidRPr="00000000" w14:paraId="000000D5">
      <w:pPr>
        <w:pStyle w:val="Heading3"/>
        <w:rPr/>
      </w:pPr>
      <w:r w:rsidDel="00000000" w:rsidR="00000000" w:rsidRPr="00000000">
        <w:rPr>
          <w:rtl w:val="0"/>
        </w:rPr>
        <w:t xml:space="preserve">Academic and peer-reviewed literature</w:t>
      </w:r>
    </w:p>
    <w:p w:rsidR="00000000" w:rsidDel="00000000" w:rsidP="00000000" w:rsidRDefault="00000000" w:rsidRPr="00000000" w14:paraId="000000D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Kreuzberger, D., Kühl, N., &amp; Hirschl, S. (2023). "Machine Learning Operations (MLOps): Overview, Definition, and Architecture." IEEE Access.</w:t>
      </w:r>
      <w:r w:rsidDel="00000000" w:rsidR="00000000" w:rsidRPr="00000000">
        <w:rPr>
          <w:rtl w:val="0"/>
        </w:rPr>
      </w:r>
    </w:p>
    <w:p w:rsidR="00000000" w:rsidDel="00000000" w:rsidP="00000000" w:rsidRDefault="00000000" w:rsidRPr="00000000" w14:paraId="000000D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"MLOps best practices, challenges and maturity models: A systematic literature review." Information and Software Technology, Vol. 183, 2025. ScienceDirect.</w:t>
      </w:r>
      <w:r w:rsidDel="00000000" w:rsidR="00000000" w:rsidRPr="00000000">
        <w:rPr>
          <w:rtl w:val="0"/>
        </w:rPr>
      </w:r>
    </w:p>
    <w:p w:rsidR="00000000" w:rsidDel="00000000" w:rsidP="00000000" w:rsidRDefault="00000000" w:rsidRPr="00000000" w14:paraId="000000D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"An empirical guide to MLOps adoption: Framework, maturity model and taxonomy." ScienceDirect, 2025.</w:t>
      </w:r>
      <w:r w:rsidDel="00000000" w:rsidR="00000000" w:rsidRPr="00000000">
        <w:rPr>
          <w:rtl w:val="0"/>
        </w:rPr>
      </w:r>
    </w:p>
    <w:p w:rsidR="00000000" w:rsidDel="00000000" w:rsidP="00000000" w:rsidRDefault="00000000" w:rsidRPr="00000000" w14:paraId="000000D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Lee, J., et al. "Industrial Artificial Intelligence." arXiv:1908.02150 (2019).</w:t>
      </w:r>
      <w:r w:rsidDel="00000000" w:rsidR="00000000" w:rsidRPr="00000000">
        <w:rPr>
          <w:rtl w:val="0"/>
        </w:rPr>
      </w:r>
    </w:p>
    <w:p w:rsidR="00000000" w:rsidDel="00000000" w:rsidP="00000000" w:rsidRDefault="00000000" w:rsidRPr="00000000" w14:paraId="000000D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"Recent Advances of Artificial Intelligence in Manufacturing Industrial Sectors: A Review." International Journal of Precision Engineering and Manufacturing, Springer Nature.</w:t>
      </w:r>
      <w:r w:rsidDel="00000000" w:rsidR="00000000" w:rsidRPr="00000000">
        <w:rPr>
          <w:rtl w:val="0"/>
        </w:rPr>
      </w:r>
    </w:p>
    <w:p w:rsidR="00000000" w:rsidDel="00000000" w:rsidP="00000000" w:rsidRDefault="00000000" w:rsidRPr="00000000" w14:paraId="000000D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"Enhancing Critical Industrial Processes with Artificial Intelligence Models." MDPI Engineering Proceedings, ICATH 2025.</w:t>
      </w:r>
      <w:r w:rsidDel="00000000" w:rsidR="00000000" w:rsidRPr="00000000">
        <w:rPr>
          <w:rtl w:val="0"/>
        </w:rPr>
      </w:r>
    </w:p>
    <w:p w:rsidR="00000000" w:rsidDel="00000000" w:rsidP="00000000" w:rsidRDefault="00000000" w:rsidRPr="00000000" w14:paraId="000000D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UNCTAD Commission on Science and Technology for Development. "Issue Paper on AI in R&amp;D," 2025–2026 intersessional period.</w:t>
      </w:r>
      <w:r w:rsidDel="00000000" w:rsidR="00000000" w:rsidRPr="00000000">
        <w:rPr>
          <w:rtl w:val="0"/>
        </w:rPr>
      </w:r>
    </w:p>
    <w:p w:rsidR="00000000" w:rsidDel="00000000" w:rsidP="00000000" w:rsidRDefault="00000000" w:rsidRPr="00000000" w14:paraId="000000D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Brynjolfsson, E., Rock, D., &amp; Syverson, C. (2021). "The Productivity J-Curve: How Intangibles Complement General Purpose Technologies." American Economic Journal: Macroeconomics, 13(1), 333–372. (NBER Working Paper 25148, 2018.)</w:t>
      </w:r>
      <w:r w:rsidDel="00000000" w:rsidR="00000000" w:rsidRPr="00000000">
        <w:rPr>
          <w:rtl w:val="0"/>
        </w:rPr>
      </w:r>
    </w:p>
    <w:p w:rsidR="00000000" w:rsidDel="00000000" w:rsidP="00000000" w:rsidRDefault="00000000" w:rsidRPr="00000000" w14:paraId="000000D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McElheran, K., Yang, M.-J., Kroff, Z., &amp; Brynjolfsson, E. (2025). "The Rise of Industrial AI in America: Microfoundations of the Productivity J-Curve(s)." U.S. Census Bureau Center for Economic Studies Working Paper 25-27 (SSRN 5036270). See also McElheran et al. (2024), "AI Adoption in America: Who, What, and Where," Journal of Economics &amp; Management Strategy, 33(2), 375–415.</w:t>
      </w:r>
      <w:r w:rsidDel="00000000" w:rsidR="00000000" w:rsidRPr="00000000">
        <w:rPr>
          <w:rtl w:val="0"/>
        </w:rPr>
      </w:r>
    </w:p>
    <w:p w:rsidR="00000000" w:rsidDel="00000000" w:rsidP="00000000" w:rsidRDefault="00000000" w:rsidRPr="00000000" w14:paraId="000000DF">
      <w:pPr>
        <w:pStyle w:val="Heading3"/>
        <w:rPr/>
      </w:pPr>
      <w:r w:rsidDel="00000000" w:rsidR="00000000" w:rsidRPr="00000000">
        <w:rPr>
          <w:rtl w:val="0"/>
        </w:rPr>
        <w:t xml:space="preserve">Standards bodies and regulatory frameworks</w:t>
      </w:r>
    </w:p>
    <w:p w:rsidR="00000000" w:rsidDel="00000000" w:rsidP="00000000" w:rsidRDefault="00000000" w:rsidRPr="00000000" w14:paraId="000000E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NIST AI Risk Management Framework (NIST AI 100-1), January 2023, plus the NIST AI RMF Playbook.</w:t>
      </w:r>
      <w:r w:rsidDel="00000000" w:rsidR="00000000" w:rsidRPr="00000000">
        <w:rPr>
          <w:rtl w:val="0"/>
        </w:rPr>
      </w:r>
    </w:p>
    <w:p w:rsidR="00000000" w:rsidDel="00000000" w:rsidP="00000000" w:rsidRDefault="00000000" w:rsidRPr="00000000" w14:paraId="000000E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ISO/IEC 42001:2023 — Information technology / Artificial intelligence / Management system.</w:t>
      </w:r>
      <w:r w:rsidDel="00000000" w:rsidR="00000000" w:rsidRPr="00000000">
        <w:rPr>
          <w:rtl w:val="0"/>
        </w:rPr>
      </w:r>
    </w:p>
    <w:p w:rsidR="00000000" w:rsidDel="00000000" w:rsidP="00000000" w:rsidRDefault="00000000" w:rsidRPr="00000000" w14:paraId="000000E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European Union Artificial Intelligence Act (Regulation (EU) 2024/1689), updated 2025; full compliance August 2026.</w:t>
      </w:r>
      <w:r w:rsidDel="00000000" w:rsidR="00000000" w:rsidRPr="00000000">
        <w:rPr>
          <w:rtl w:val="0"/>
        </w:rPr>
      </w:r>
    </w:p>
    <w:p w:rsidR="00000000" w:rsidDel="00000000" w:rsidP="00000000" w:rsidRDefault="00000000" w:rsidRPr="00000000" w14:paraId="000000E3">
      <w:pPr>
        <w:pStyle w:val="Heading3"/>
        <w:rPr/>
      </w:pPr>
      <w:r w:rsidDel="00000000" w:rsidR="00000000" w:rsidRPr="00000000">
        <w:rPr>
          <w:rtl w:val="0"/>
        </w:rPr>
        <w:t xml:space="preserve">Major industry research</w:t>
      </w:r>
    </w:p>
    <w:p w:rsidR="00000000" w:rsidDel="00000000" w:rsidP="00000000" w:rsidRDefault="00000000" w:rsidRPr="00000000" w14:paraId="000000E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Ryseff, J., De Bruhl, B. F., &amp; Newberry, S. J. "The Root Causes of Failure for Artificial Intelligence Projects and How They Can Succeed: Avoiding the Anti-Patterns of AI." RAND Corporation, RR-A2680-1, August 2024.</w:t>
      </w:r>
      <w:r w:rsidDel="00000000" w:rsidR="00000000" w:rsidRPr="00000000">
        <w:rPr>
          <w:rtl w:val="0"/>
        </w:rPr>
      </w:r>
    </w:p>
    <w:p w:rsidR="00000000" w:rsidDel="00000000" w:rsidP="00000000" w:rsidRDefault="00000000" w:rsidRPr="00000000" w14:paraId="000000E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Ryseff, J., &amp; Narayanan, A. "Why AI Projects Fail." RAND Corporation, PT-A2680-1, 2025 (presentation series).</w:t>
      </w:r>
      <w:r w:rsidDel="00000000" w:rsidR="00000000" w:rsidRPr="00000000">
        <w:rPr>
          <w:rtl w:val="0"/>
        </w:rPr>
      </w:r>
    </w:p>
    <w:p w:rsidR="00000000" w:rsidDel="00000000" w:rsidP="00000000" w:rsidRDefault="00000000" w:rsidRPr="00000000" w14:paraId="000000E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Challapally, A., Pease, C., Raskar, R., &amp; Chari, P. "The GenAI Divide: State of AI in Business 2025." MIT Project NANDA (Networked Agents and Decentralized AI), July 2025.</w:t>
      </w:r>
      <w:r w:rsidDel="00000000" w:rsidR="00000000" w:rsidRPr="00000000">
        <w:rPr>
          <w:rtl w:val="0"/>
        </w:rPr>
      </w:r>
    </w:p>
    <w:p w:rsidR="00000000" w:rsidDel="00000000" w:rsidP="00000000" w:rsidRDefault="00000000" w:rsidRPr="00000000" w14:paraId="000000E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McKinsey &amp; Company. "The State of AI in 2025: Agents, Innovation, and Transformation." November 2025. 1,993 respondents across 105 countries.</w:t>
      </w:r>
      <w:r w:rsidDel="00000000" w:rsidR="00000000" w:rsidRPr="00000000">
        <w:rPr>
          <w:rtl w:val="0"/>
        </w:rPr>
      </w:r>
    </w:p>
    <w:p w:rsidR="00000000" w:rsidDel="00000000" w:rsidP="00000000" w:rsidRDefault="00000000" w:rsidRPr="00000000" w14:paraId="000000E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McKinsey &amp; Company. "The State of AI: How Organizations Are Rewiring to Capture Value." March 2025.</w:t>
      </w:r>
      <w:r w:rsidDel="00000000" w:rsidR="00000000" w:rsidRPr="00000000">
        <w:rPr>
          <w:rtl w:val="0"/>
        </w:rPr>
      </w:r>
    </w:p>
    <w:p w:rsidR="00000000" w:rsidDel="00000000" w:rsidP="00000000" w:rsidRDefault="00000000" w:rsidRPr="00000000" w14:paraId="000000E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Stanford HAI. "AI Index Report 2025."</w:t>
      </w:r>
      <w:r w:rsidDel="00000000" w:rsidR="00000000" w:rsidRPr="00000000">
        <w:rPr>
          <w:rtl w:val="0"/>
        </w:rPr>
      </w:r>
    </w:p>
    <w:p w:rsidR="00000000" w:rsidDel="00000000" w:rsidP="00000000" w:rsidRDefault="00000000" w:rsidRPr="00000000" w14:paraId="000000E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MIT Sloan Management Review &amp; BCG. "2025 Artificial Intelligence and Business Strategy" report on agentic AI adoption.</w:t>
      </w:r>
      <w:r w:rsidDel="00000000" w:rsidR="00000000" w:rsidRPr="00000000">
        <w:rPr>
          <w:rtl w:val="0"/>
        </w:rPr>
      </w:r>
    </w:p>
    <w:p w:rsidR="00000000" w:rsidDel="00000000" w:rsidP="00000000" w:rsidRDefault="00000000" w:rsidRPr="00000000" w14:paraId="000000E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Boston Consulting Group. AI value-realization surveys, October 2024 and September 2025.</w:t>
      </w:r>
      <w:r w:rsidDel="00000000" w:rsidR="00000000" w:rsidRPr="00000000">
        <w:rPr>
          <w:rtl w:val="0"/>
        </w:rPr>
      </w:r>
    </w:p>
    <w:p w:rsidR="00000000" w:rsidDel="00000000" w:rsidP="00000000" w:rsidRDefault="00000000" w:rsidRPr="00000000" w14:paraId="000000E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S&amp;P Global Market Intelligence. AI initiative abandonment data, mid-2025.</w:t>
      </w:r>
      <w:r w:rsidDel="00000000" w:rsidR="00000000" w:rsidRPr="00000000">
        <w:rPr>
          <w:rtl w:val="0"/>
        </w:rPr>
      </w:r>
    </w:p>
    <w:p w:rsidR="00000000" w:rsidDel="00000000" w:rsidP="00000000" w:rsidRDefault="00000000" w:rsidRPr="00000000" w14:paraId="000000E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Gartner. Forecasts on GenAI project abandonment (2024–2027), AI-ready data adoption, and IT infrastructure AI ROI (April 2026).</w:t>
      </w:r>
      <w:r w:rsidDel="00000000" w:rsidR="00000000" w:rsidRPr="00000000">
        <w:rPr>
          <w:rtl w:val="0"/>
        </w:rPr>
      </w:r>
    </w:p>
    <w:p w:rsidR="00000000" w:rsidDel="00000000" w:rsidP="00000000" w:rsidRDefault="00000000" w:rsidRPr="00000000" w14:paraId="000000E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Informatica 2025 CDO Insights Survey on obstacles to AI success.</w:t>
      </w:r>
      <w:r w:rsidDel="00000000" w:rsidR="00000000" w:rsidRPr="00000000">
        <w:rPr>
          <w:rtl w:val="0"/>
        </w:rPr>
      </w:r>
    </w:p>
    <w:p w:rsidR="00000000" w:rsidDel="00000000" w:rsidP="00000000" w:rsidRDefault="00000000" w:rsidRPr="00000000" w14:paraId="000000E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Cisco AI Readiness Index 2024.</w:t>
      </w:r>
      <w:r w:rsidDel="00000000" w:rsidR="00000000" w:rsidRPr="00000000">
        <w:rPr>
          <w:rtl w:val="0"/>
        </w:rPr>
      </w:r>
    </w:p>
    <w:p w:rsidR="00000000" w:rsidDel="00000000" w:rsidP="00000000" w:rsidRDefault="00000000" w:rsidRPr="00000000" w14:paraId="000000F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Deloitte. "AI ROI: The Paradox of Rising Investment and Elusive Returns" (2025). Survey of 1,854 senior executives, finding typical AI use cases reach satisfactory ROI in two to four years.</w:t>
      </w:r>
      <w:r w:rsidDel="00000000" w:rsidR="00000000" w:rsidRPr="00000000">
        <w:rPr>
          <w:rtl w:val="0"/>
        </w:rPr>
      </w:r>
    </w:p>
    <w:p w:rsidR="00000000" w:rsidDel="00000000" w:rsidP="00000000" w:rsidRDefault="00000000" w:rsidRPr="00000000" w14:paraId="000000F1">
      <w:pPr>
        <w:pStyle w:val="Heading3"/>
        <w:rPr/>
      </w:pPr>
      <w:r w:rsidDel="00000000" w:rsidR="00000000" w:rsidRPr="00000000">
        <w:rPr>
          <w:rtl w:val="0"/>
        </w:rPr>
        <w:t xml:space="preserve">Reputable industry and journalistic reporting</w:t>
      </w:r>
    </w:p>
    <w:p w:rsidR="00000000" w:rsidDel="00000000" w:rsidP="00000000" w:rsidRDefault="00000000" w:rsidRPr="00000000" w14:paraId="000000F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"AI for Science 2025" (Nature Research Intelligence). A report produced by Fudan University and the Shanghai Academy of AI for Science as sponsored Nature Custom Media content—credible analysis of AI’s role in research paradigms, but advertiser-produced rather than peer-reviewed.</w:t>
      </w:r>
      <w:r w:rsidDel="00000000" w:rsidR="00000000" w:rsidRPr="00000000">
        <w:rPr>
          <w:rtl w:val="0"/>
        </w:rPr>
      </w:r>
    </w:p>
    <w:p w:rsidR="00000000" w:rsidDel="00000000" w:rsidP="00000000" w:rsidRDefault="00000000" w:rsidRPr="00000000" w14:paraId="000000F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MIT Sloan Management Review. "AI in Action" case series, Thomas H. Davenport &amp; Randy Bean — Apollo Global Management (June 2025), Vanguard (October 2025), Michelin (August 2025), Intuit (April 2025), Procter &amp; Gamble (January 2025).</w:t>
      </w:r>
      <w:r w:rsidDel="00000000" w:rsidR="00000000" w:rsidRPr="00000000">
        <w:rPr>
          <w:rtl w:val="0"/>
        </w:rPr>
      </w:r>
    </w:p>
    <w:p w:rsidR="00000000" w:rsidDel="00000000" w:rsidP="00000000" w:rsidRDefault="00000000" w:rsidRPr="00000000" w14:paraId="000000F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Fortune. "MIT report: 95% of generative AI pilots at companies are failing." August 18, 2025.</w:t>
      </w:r>
      <w:r w:rsidDel="00000000" w:rsidR="00000000" w:rsidRPr="00000000">
        <w:rPr>
          <w:rtl w:val="0"/>
        </w:rPr>
      </w:r>
    </w:p>
    <w:p w:rsidR="00000000" w:rsidDel="00000000" w:rsidP="00000000" w:rsidRDefault="00000000" w:rsidRPr="00000000" w14:paraId="000000F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MIT Sloan ideas-made-to-matter. "AI Implementation Strategies: 4 Insights from MIT Sloan Management Review." October 2025.</w:t>
      </w:r>
      <w:r w:rsidDel="00000000" w:rsidR="00000000" w:rsidRPr="00000000">
        <w:rPr>
          <w:rtl w:val="0"/>
        </w:rPr>
      </w:r>
    </w:p>
    <w:p w:rsidR="00000000" w:rsidDel="00000000" w:rsidP="00000000" w:rsidRDefault="00000000" w:rsidRPr="00000000" w14:paraId="000000F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Meta. Case study on Aitomatic's Llama 3.1 70B Domain-Expert Agent for field engineers at an IC manufacturer, 2025.</w:t>
      </w:r>
      <w:r w:rsidDel="00000000" w:rsidR="00000000" w:rsidRPr="00000000">
        <w:rPr>
          <w:rtl w:val="0"/>
        </w:rPr>
      </w:r>
    </w:p>
    <w:p w:rsidR="00000000" w:rsidDel="00000000" w:rsidP="00000000" w:rsidRDefault="00000000" w:rsidRPr="00000000" w14:paraId="000000F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Google Cloud Architecture Center. "MLOps: Continuous delivery and automation pipelines in machine learning."</w:t>
      </w:r>
      <w:r w:rsidDel="00000000" w:rsidR="00000000" w:rsidRPr="00000000">
        <w:rPr>
          <w:rtl w:val="0"/>
        </w:rPr>
      </w:r>
    </w:p>
    <w:p w:rsidR="00000000" w:rsidDel="00000000" w:rsidP="00000000" w:rsidRDefault="00000000" w:rsidRPr="00000000" w14:paraId="000000F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Weights &amp; Biases. "What is MLOps? An executive blueprint."</w:t>
      </w:r>
      <w:r w:rsidDel="00000000" w:rsidR="00000000" w:rsidRPr="00000000">
        <w:rPr>
          <w:rtl w:val="0"/>
        </w:rPr>
      </w:r>
    </w:p>
    <w:p w:rsidR="00000000" w:rsidDel="00000000" w:rsidP="00000000" w:rsidRDefault="00000000" w:rsidRPr="00000000" w14:paraId="000000F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IBM. "AIOps vs. MLOps: Harnessing big data for smarter ITOps."</w:t>
      </w:r>
      <w:r w:rsidDel="00000000" w:rsidR="00000000" w:rsidRPr="00000000">
        <w:rPr>
          <w:rtl w:val="0"/>
        </w:rPr>
      </w:r>
    </w:p>
    <w:p w:rsidR="00000000" w:rsidDel="00000000" w:rsidP="00000000" w:rsidRDefault="00000000" w:rsidRPr="00000000" w14:paraId="000000F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Field Service Europe 2025 conference proceedings; Field Service Next West 2026 industry report.</w:t>
      </w:r>
      <w:r w:rsidDel="00000000" w:rsidR="00000000" w:rsidRPr="00000000">
        <w:rPr>
          <w:rtl w:val="0"/>
        </w:rPr>
      </w:r>
    </w:p>
    <w:p w:rsidR="00000000" w:rsidDel="00000000" w:rsidP="00000000" w:rsidRDefault="00000000" w:rsidRPr="00000000" w14:paraId="000000FB">
      <w:pPr>
        <w:pStyle w:val="Heading3"/>
        <w:rPr/>
      </w:pPr>
      <w:r w:rsidDel="00000000" w:rsidR="00000000" w:rsidRPr="00000000">
        <w:rPr>
          <w:rtl w:val="0"/>
        </w:rPr>
        <w:t xml:space="preserve">Methodological caveats</w:t>
      </w:r>
    </w:p>
    <w:p w:rsidR="00000000" w:rsidDel="00000000" w:rsidP="00000000" w:rsidRDefault="00000000" w:rsidRPr="00000000" w14:paraId="000000F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60" w:before="40" w:line="280" w:lineRule="auto"/>
        <w:ind w:left="540" w:right="0" w:hanging="280"/>
        <w:jc w:val="left"/>
        <w:rPr/>
      </w:pPr>
      <w:r w:rsidDel="00000000" w:rsidR="00000000" w:rsidRPr="00000000">
        <w:rPr>
          <w:rFonts w:ascii="Calibri" w:cs="Calibri" w:eastAsia="Calibri" w:hAnsi="Calibri"/>
          <w:b w:val="0"/>
          <w:bCs w:val="0"/>
          <w:i w:val="0"/>
          <w:iCs w:val="0"/>
          <w:smallCaps w:val="0"/>
          <w:strike w:val="0"/>
          <w:color w:val="2d3748"/>
          <w:sz w:val="22"/>
          <w:szCs w:val="22"/>
          <w:u w:val="none"/>
          <w:shd w:fill="auto" w:val="clear"/>
          <w:vertAlign w:val="baseline"/>
          <w:rtl w:val="0"/>
        </w:rPr>
        <w:t xml:space="preserve">Futuriom. "Why We Don't Believe MIT NANDA's Weird AI Study." August 2025 — methodological critique of the GenAI Divide report's data presentation and conclusions, included for completeness on a contested headline figure.</w:t>
      </w:r>
      <w:r w:rsidDel="00000000" w:rsidR="00000000" w:rsidRPr="00000000">
        <w:rPr>
          <w:rtl w:val="0"/>
        </w:rPr>
      </w:r>
    </w:p>
    <w:p w:rsidR="00000000" w:rsidDel="00000000" w:rsidP="00000000" w:rsidRDefault="00000000" w:rsidRPr="00000000" w14:paraId="000000FD">
      <w:pPr>
        <w:rPr/>
      </w:pPr>
      <w:r w:rsidDel="00000000" w:rsidR="00000000" w:rsidRPr="00000000">
        <w:rPr>
          <w:rtl w:val="0"/>
        </w:rPr>
      </w:r>
    </w:p>
    <w:p w:rsidR="00000000" w:rsidDel="00000000" w:rsidP="00000000" w:rsidRDefault="00000000" w:rsidRPr="00000000" w14:paraId="000000FE">
      <w:pPr>
        <w:pBdr>
          <w:bottom w:color="cbd5e0" w:space="1" w:sz="6" w:val="single"/>
        </w:pBdr>
        <w:spacing w:after="80" w:before="80" w:lineRule="auto"/>
        <w:rPr/>
      </w:pPr>
      <w:r w:rsidDel="00000000" w:rsidR="00000000" w:rsidRPr="00000000">
        <w:rPr>
          <w:rtl w:val="0"/>
        </w:rPr>
      </w:r>
    </w:p>
    <w:p w:rsidR="00000000" w:rsidDel="00000000" w:rsidP="00000000" w:rsidRDefault="00000000" w:rsidRPr="00000000" w14:paraId="000000FF">
      <w:pPr>
        <w:spacing w:before="80" w:lineRule="auto"/>
        <w:jc w:val="center"/>
        <w:rPr/>
      </w:pPr>
      <w:r w:rsidDel="00000000" w:rsidR="00000000" w:rsidRPr="00000000">
        <w:rPr>
          <w:color w:val="718096"/>
          <w:sz w:val="18"/>
          <w:szCs w:val="18"/>
          <w:rtl w:val="0"/>
        </w:rPr>
        <w:t xml:space="preserve">Applied AI Research Brief  ·  Prepared May 11, 2026  ·  End of document</w:t>
      </w:r>
      <w:r w:rsidDel="00000000" w:rsidR="00000000" w:rsidRPr="00000000">
        <w:rPr>
          <w:rtl w:val="0"/>
        </w:rPr>
      </w:r>
    </w:p>
    <w:sectPr>
      <w:headerReference r:id="rId6" w:type="default"/>
      <w:footerReference r:id="rId7" w:type="default"/>
      <w:pgSz w:h="15840" w:w="12240"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01">
    <w:pPr>
      <w:pBdr>
        <w:top w:color="cbd5e0" w:space="4" w:sz="4" w:val="single"/>
      </w:pBdr>
      <w:spacing w:before="60" w:lineRule="auto"/>
      <w:jc w:val="center"/>
      <w:rPr/>
    </w:pPr>
    <w:r w:rsidDel="00000000" w:rsidR="00000000" w:rsidRPr="00000000">
      <w:rPr>
        <w:color w:val="718096"/>
        <w:sz w:val="16"/>
        <w:szCs w:val="16"/>
        <w:rtl w:val="0"/>
      </w:rPr>
      <w:t xml:space="preserve">Page </w:t>
    </w:r>
    <w:r w:rsidDel="00000000" w:rsidR="00000000" w:rsidRPr="00000000">
      <w:rPr>
        <w:color w:val="718096"/>
        <w:sz w:val="16"/>
        <w:szCs w:val="16"/>
      </w:rPr>
      <w:fldChar w:fldCharType="begin"/>
      <w:instrText xml:space="preserve">PAGE</w:instrText>
      <w:fldChar w:fldCharType="separate"/>
      <w:fldChar w:fldCharType="end"/>
    </w:r>
    <w:r w:rsidDel="00000000" w:rsidR="00000000" w:rsidRPr="00000000">
      <w:rPr>
        <w:color w:val="718096"/>
        <w:sz w:val="16"/>
        <w:szCs w:val="16"/>
        <w:rtl w:val="0"/>
      </w:rPr>
      <w:t xml:space="preserve"> of </w:t>
    </w:r>
    <w:r w:rsidDel="00000000" w:rsidR="00000000" w:rsidRPr="00000000">
      <w:rPr>
        <w:color w:val="718096"/>
        <w:sz w:val="16"/>
        <w:szCs w:val="16"/>
      </w:rPr>
      <w:fldChar w:fldCharType="begin"/>
      <w:instrText xml:space="preserve">NUMPAGES</w:instrText>
      <w:fldChar w:fldCharType="separate"/>
      <w:fldChar w:fldCharType="end"/>
    </w:r>
    <w:r w:rsidDel="00000000" w:rsidR="00000000" w:rsidRPr="00000000">
      <w:rPr>
        <w:color w:val="718096"/>
        <w:sz w:val="16"/>
        <w:szCs w:val="16"/>
        <w:rtl w:val="0"/>
      </w:rPr>
      <w:t xml:space="preserve">    ·    May 11, 2026</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00">
    <w:pPr>
      <w:pBdr>
        <w:bottom w:color="cbd5e0" w:space="4" w:sz="4" w:val="single"/>
      </w:pBdr>
      <w:spacing w:after="60" w:lineRule="auto"/>
      <w:jc w:val="right"/>
      <w:rPr/>
    </w:pPr>
    <w:r w:rsidDel="00000000" w:rsidR="00000000" w:rsidRPr="00000000">
      <w:rPr>
        <w:color w:val="718096"/>
        <w:sz w:val="16"/>
        <w:szCs w:val="16"/>
        <w:rtl w:val="0"/>
      </w:rPr>
      <w:t xml:space="preserve">Applied AI in the Enterprise · Research Brief</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540" w:hanging="280"/>
      </w:pPr>
      <w:rPr/>
    </w:lvl>
    <w:lvl w:ilvl="1">
      <w:start w:val="1"/>
      <w:numFmt w:val="bullet"/>
      <w:lvlText w:val="◦"/>
      <w:lvlJc w:val="left"/>
      <w:pPr>
        <w:ind w:left="960" w:hanging="280"/>
      </w:pPr>
      <w:rPr/>
    </w:lvl>
    <w:lvl w:ilvl="2">
      <w:start w:val="0"/>
      <w:numFmt w:val="decimal"/>
      <w:lvlText w:val=""/>
      <w:lvlJc w:val="left"/>
      <w:pPr>
        <w:ind w:left="0" w:firstLine="0"/>
      </w:pPr>
      <w:rPr/>
    </w:lvl>
    <w:lvl w:ilvl="3">
      <w:start w:val="0"/>
      <w:numFmt w:val="decimal"/>
      <w:lvlText w:val=""/>
      <w:lvlJc w:val="left"/>
      <w:pPr>
        <w:ind w:left="0" w:firstLine="0"/>
      </w:pPr>
      <w:rPr/>
    </w:lvl>
    <w:lvl w:ilvl="4">
      <w:start w:val="0"/>
      <w:numFmt w:val="decimal"/>
      <w:lvlText w:val=""/>
      <w:lvlJc w:val="left"/>
      <w:pPr>
        <w:ind w:left="0" w:firstLine="0"/>
      </w:pPr>
      <w:rPr/>
    </w:lvl>
    <w:lvl w:ilvl="5">
      <w:start w:val="0"/>
      <w:numFmt w:val="decimal"/>
      <w:lvlText w:val=""/>
      <w:lvlJc w:val="left"/>
      <w:pPr>
        <w:ind w:left="0" w:firstLine="0"/>
      </w:pPr>
      <w:rPr/>
    </w:lvl>
    <w:lvl w:ilvl="6">
      <w:start w:val="0"/>
      <w:numFmt w:val="decimal"/>
      <w:lvlText w:val=""/>
      <w:lvlJc w:val="left"/>
      <w:pPr>
        <w:ind w:left="0" w:firstLine="0"/>
      </w:pPr>
      <w:rPr/>
    </w:lvl>
    <w:lvl w:ilvl="7">
      <w:start w:val="0"/>
      <w:numFmt w:val="decimal"/>
      <w:lvlText w:val=""/>
      <w:lvlJc w:val="left"/>
      <w:pPr>
        <w:ind w:left="0" w:firstLine="0"/>
      </w:pPr>
      <w:rPr/>
    </w:lvl>
    <w:lvl w:ilvl="8">
      <w:start w:val="0"/>
      <w:numFmt w:val="decimal"/>
      <w:lvlText w:val=""/>
      <w:lvlJc w:val="left"/>
      <w:pPr>
        <w:ind w:left="0" w:firstLine="0"/>
      </w:pPr>
      <w:rPr/>
    </w:lvl>
  </w:abstractNum>
  <w:abstractNum w:abstractNumId="2">
    <w:lvl w:ilvl="0">
      <w:start w:val="1"/>
      <w:numFmt w:val="decimal"/>
      <w:lvlText w:val="%1."/>
      <w:lvlJc w:val="left"/>
      <w:pPr>
        <w:ind w:left="540" w:hanging="280"/>
      </w:pPr>
      <w:rPr/>
    </w:lvl>
    <w:lvl w:ilvl="1">
      <w:start w:val="0"/>
      <w:numFmt w:val="decimal"/>
      <w:lvlText w:val=""/>
      <w:lvlJc w:val="left"/>
      <w:pPr>
        <w:ind w:left="0" w:firstLine="0"/>
      </w:pPr>
      <w:rPr/>
    </w:lvl>
    <w:lvl w:ilvl="2">
      <w:start w:val="0"/>
      <w:numFmt w:val="decimal"/>
      <w:lvlText w:val=""/>
      <w:lvlJc w:val="left"/>
      <w:pPr>
        <w:ind w:left="0" w:firstLine="0"/>
      </w:pPr>
      <w:rPr/>
    </w:lvl>
    <w:lvl w:ilvl="3">
      <w:start w:val="0"/>
      <w:numFmt w:val="decimal"/>
      <w:lvlText w:val=""/>
      <w:lvlJc w:val="left"/>
      <w:pPr>
        <w:ind w:left="0" w:firstLine="0"/>
      </w:pPr>
      <w:rPr/>
    </w:lvl>
    <w:lvl w:ilvl="4">
      <w:start w:val="0"/>
      <w:numFmt w:val="decimal"/>
      <w:lvlText w:val=""/>
      <w:lvlJc w:val="left"/>
      <w:pPr>
        <w:ind w:left="0" w:firstLine="0"/>
      </w:pPr>
      <w:rPr/>
    </w:lvl>
    <w:lvl w:ilvl="5">
      <w:start w:val="0"/>
      <w:numFmt w:val="decimal"/>
      <w:lvlText w:val=""/>
      <w:lvlJc w:val="left"/>
      <w:pPr>
        <w:ind w:left="0" w:firstLine="0"/>
      </w:pPr>
      <w:rPr/>
    </w:lvl>
    <w:lvl w:ilvl="6">
      <w:start w:val="0"/>
      <w:numFmt w:val="decimal"/>
      <w:lvlText w:val=""/>
      <w:lvlJc w:val="left"/>
      <w:pPr>
        <w:ind w:left="0" w:firstLine="0"/>
      </w:pPr>
      <w:rPr/>
    </w:lvl>
    <w:lvl w:ilvl="7">
      <w:start w:val="0"/>
      <w:numFmt w:val="decimal"/>
      <w:lvlText w:val=""/>
      <w:lvlJc w:val="left"/>
      <w:pPr>
        <w:ind w:left="0" w:firstLine="0"/>
      </w:pPr>
      <w:rPr/>
    </w:lvl>
    <w:lvl w:ilvl="8">
      <w:start w:val="0"/>
      <w:numFmt w:val="decimal"/>
      <w:lvlText w:val=""/>
      <w:lvlJc w:val="left"/>
      <w:pPr>
        <w:ind w:left="0" w:firstLine="0"/>
      </w:pPr>
      <w:rPr/>
    </w:lvl>
  </w:abstractNum>
  <w:abstractNum w:abstractNumId="3">
    <w:lvl w:ilvl="0">
      <w:start w:val="1"/>
      <w:numFmt w:val="decimal"/>
      <w:lvlText w:val="%1."/>
      <w:lvlJc w:val="left"/>
      <w:pPr>
        <w:ind w:left="540" w:hanging="280"/>
      </w:pPr>
      <w:rPr/>
    </w:lvl>
    <w:lvl w:ilvl="1">
      <w:start w:val="0"/>
      <w:numFmt w:val="decimal"/>
      <w:lvlText w:val=""/>
      <w:lvlJc w:val="left"/>
      <w:pPr>
        <w:ind w:left="0" w:firstLine="0"/>
      </w:pPr>
      <w:rPr/>
    </w:lvl>
    <w:lvl w:ilvl="2">
      <w:start w:val="0"/>
      <w:numFmt w:val="decimal"/>
      <w:lvlText w:val=""/>
      <w:lvlJc w:val="left"/>
      <w:pPr>
        <w:ind w:left="0" w:firstLine="0"/>
      </w:pPr>
      <w:rPr/>
    </w:lvl>
    <w:lvl w:ilvl="3">
      <w:start w:val="0"/>
      <w:numFmt w:val="decimal"/>
      <w:lvlText w:val=""/>
      <w:lvlJc w:val="left"/>
      <w:pPr>
        <w:ind w:left="0" w:firstLine="0"/>
      </w:pPr>
      <w:rPr/>
    </w:lvl>
    <w:lvl w:ilvl="4">
      <w:start w:val="0"/>
      <w:numFmt w:val="decimal"/>
      <w:lvlText w:val=""/>
      <w:lvlJc w:val="left"/>
      <w:pPr>
        <w:ind w:left="0" w:firstLine="0"/>
      </w:pPr>
      <w:rPr/>
    </w:lvl>
    <w:lvl w:ilvl="5">
      <w:start w:val="0"/>
      <w:numFmt w:val="decimal"/>
      <w:lvlText w:val=""/>
      <w:lvlJc w:val="left"/>
      <w:pPr>
        <w:ind w:left="0" w:firstLine="0"/>
      </w:pPr>
      <w:rPr/>
    </w:lvl>
    <w:lvl w:ilvl="6">
      <w:start w:val="0"/>
      <w:numFmt w:val="decimal"/>
      <w:lvlText w:val=""/>
      <w:lvlJc w:val="left"/>
      <w:pPr>
        <w:ind w:left="0" w:firstLine="0"/>
      </w:pPr>
      <w:rPr/>
    </w:lvl>
    <w:lvl w:ilvl="7">
      <w:start w:val="0"/>
      <w:numFmt w:val="decimal"/>
      <w:lvlText w:val=""/>
      <w:lvlJc w:val="left"/>
      <w:pPr>
        <w:ind w:left="0" w:firstLine="0"/>
      </w:pPr>
      <w:rPr/>
    </w:lvl>
    <w:lvl w:ilvl="8">
      <w:start w:val="0"/>
      <w:numFmt w:val="decimal"/>
      <w:lvlText w:val=""/>
      <w:lvlJc w:val="left"/>
      <w:pPr>
        <w:ind w:left="0" w:firstLine="0"/>
      </w:pPr>
      <w:rPr/>
    </w:lvl>
  </w:abstractNum>
  <w:abstractNum w:abstractNumId="4">
    <w:lvl w:ilvl="0">
      <w:start w:val="1"/>
      <w:numFmt w:val="decimal"/>
      <w:lvlText w:val="%1."/>
      <w:lvlJc w:val="left"/>
      <w:pPr>
        <w:ind w:left="800" w:hanging="280"/>
      </w:pPr>
      <w:rPr/>
    </w:lvl>
    <w:lvl w:ilvl="1">
      <w:start w:val="1"/>
      <w:numFmt w:val="lowerLetter"/>
      <w:lvlText w:val="%2."/>
      <w:lvlJc w:val="left"/>
      <w:pPr>
        <w:ind w:left="1700" w:hanging="360"/>
      </w:pPr>
      <w:rPr/>
    </w:lvl>
    <w:lvl w:ilvl="2">
      <w:start w:val="1"/>
      <w:numFmt w:val="lowerRoman"/>
      <w:lvlText w:val="%3."/>
      <w:lvlJc w:val="right"/>
      <w:pPr>
        <w:ind w:left="2420" w:hanging="180"/>
      </w:pPr>
      <w:rPr/>
    </w:lvl>
    <w:lvl w:ilvl="3">
      <w:start w:val="1"/>
      <w:numFmt w:val="decimal"/>
      <w:lvlText w:val="%4."/>
      <w:lvlJc w:val="left"/>
      <w:pPr>
        <w:ind w:left="3140" w:hanging="360"/>
      </w:pPr>
      <w:rPr/>
    </w:lvl>
    <w:lvl w:ilvl="4">
      <w:start w:val="1"/>
      <w:numFmt w:val="lowerLetter"/>
      <w:lvlText w:val="%5."/>
      <w:lvlJc w:val="left"/>
      <w:pPr>
        <w:ind w:left="3860" w:hanging="360"/>
      </w:pPr>
      <w:rPr/>
    </w:lvl>
    <w:lvl w:ilvl="5">
      <w:start w:val="1"/>
      <w:numFmt w:val="lowerRoman"/>
      <w:lvlText w:val="%6."/>
      <w:lvlJc w:val="right"/>
      <w:pPr>
        <w:ind w:left="4580" w:hanging="180"/>
      </w:pPr>
      <w:rPr/>
    </w:lvl>
    <w:lvl w:ilvl="6">
      <w:start w:val="1"/>
      <w:numFmt w:val="decimal"/>
      <w:lvlText w:val="%7."/>
      <w:lvlJc w:val="left"/>
      <w:pPr>
        <w:ind w:left="5300" w:hanging="360"/>
      </w:pPr>
      <w:rPr/>
    </w:lvl>
    <w:lvl w:ilvl="7">
      <w:start w:val="1"/>
      <w:numFmt w:val="lowerLetter"/>
      <w:lvlText w:val="%8."/>
      <w:lvlJc w:val="left"/>
      <w:pPr>
        <w:ind w:left="6020" w:hanging="360"/>
      </w:pPr>
      <w:rPr/>
    </w:lvl>
    <w:lvl w:ilvl="8">
      <w:start w:val="1"/>
      <w:numFmt w:val="lowerRoman"/>
      <w:lvlText w:val="%9."/>
      <w:lvlJc w:val="right"/>
      <w:pPr>
        <w:ind w:left="6740" w:hanging="180"/>
      </w:pPr>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360" w:line="240" w:lineRule="auto"/>
      <w:ind w:left="0" w:right="0" w:firstLine="0"/>
      <w:jc w:val="left"/>
    </w:pPr>
    <w:rPr>
      <w:rFonts w:ascii="Calibri" w:cs="Calibri" w:eastAsia="Calibri" w:hAnsi="Calibri"/>
      <w:b w:val="1"/>
      <w:bCs w:val="1"/>
      <w:i w:val="0"/>
      <w:iCs w:val="0"/>
      <w:smallCaps w:val="0"/>
      <w:strike w:val="0"/>
      <w:color w:val="1f3a5f"/>
      <w:sz w:val="36"/>
      <w:szCs w:val="36"/>
      <w:u w:val="none"/>
      <w:shd w:fill="auto" w:val="clear"/>
      <w:vertAlign w:val="baseline"/>
    </w:rPr>
  </w:style>
  <w:style w:type="paragraph" w:styleId="Heading2">
    <w:name w:val="heading 2"/>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280" w:line="240" w:lineRule="auto"/>
      <w:ind w:left="0" w:right="0" w:firstLine="0"/>
      <w:jc w:val="left"/>
    </w:pPr>
    <w:rPr>
      <w:rFonts w:ascii="Calibri" w:cs="Calibri" w:eastAsia="Calibri" w:hAnsi="Calibri"/>
      <w:b w:val="1"/>
      <w:bCs w:val="1"/>
      <w:i w:val="0"/>
      <w:iCs w:val="0"/>
      <w:smallCaps w:val="0"/>
      <w:strike w:val="0"/>
      <w:color w:val="1f3a5f"/>
      <w:sz w:val="28"/>
      <w:szCs w:val="28"/>
      <w:u w:val="none"/>
      <w:shd w:fill="auto" w:val="clear"/>
      <w:vertAlign w:val="baseline"/>
    </w:rPr>
  </w:style>
  <w:style w:type="paragraph" w:styleId="Heading3">
    <w:name w:val="heading 3"/>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220" w:line="240" w:lineRule="auto"/>
      <w:ind w:left="0" w:right="0" w:firstLine="0"/>
      <w:jc w:val="left"/>
    </w:pPr>
    <w:rPr>
      <w:rFonts w:ascii="Calibri" w:cs="Calibri" w:eastAsia="Calibri" w:hAnsi="Calibri"/>
      <w:b w:val="1"/>
      <w:bCs w:val="1"/>
      <w:i w:val="0"/>
      <w:iCs w:val="0"/>
      <w:smallCaps w:val="0"/>
      <w:strike w:val="0"/>
      <w:color w:val="2e75b6"/>
      <w:sz w:val="24"/>
      <w:szCs w:val="24"/>
      <w:u w:val="none"/>
      <w:shd w:fill="auto" w:val="clear"/>
      <w:vertAlign w:val="baseline"/>
    </w:rPr>
  </w:style>
  <w:style w:type="paragraph" w:styleId="Heading4">
    <w:name w:val="heading 4"/>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Calibri" w:cs="Calibri" w:eastAsia="Calibri" w:hAnsi="Calibri"/>
      <w:b w:val="0"/>
      <w:bCs w:val="0"/>
      <w:i w:val="1"/>
      <w:iCs w:val="1"/>
      <w:smallCaps w:val="0"/>
      <w:strike w:val="0"/>
      <w:color w:val="2e74b5"/>
      <w:sz w:val="22"/>
      <w:szCs w:val="22"/>
      <w:u w:val="none"/>
      <w:shd w:fill="auto" w:val="clear"/>
      <w:vertAlign w:val="baseline"/>
    </w:rPr>
  </w:style>
  <w:style w:type="paragraph" w:styleId="Heading5">
    <w:name w:val="heading 5"/>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Calibri" w:cs="Calibri" w:eastAsia="Calibri" w:hAnsi="Calibri"/>
      <w:b w:val="0"/>
      <w:bCs w:val="0"/>
      <w:i w:val="0"/>
      <w:iCs w:val="0"/>
      <w:smallCaps w:val="0"/>
      <w:strike w:val="0"/>
      <w:color w:val="2e74b5"/>
      <w:sz w:val="22"/>
      <w:szCs w:val="22"/>
      <w:u w:val="none"/>
      <w:shd w:fill="auto" w:val="clear"/>
      <w:vertAlign w:val="baseline"/>
    </w:rPr>
  </w:style>
  <w:style w:type="paragraph" w:styleId="Heading6">
    <w:name w:val="heading 6"/>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Calibri" w:cs="Calibri" w:eastAsia="Calibri" w:hAnsi="Calibri"/>
      <w:b w:val="0"/>
      <w:bCs w:val="0"/>
      <w:i w:val="0"/>
      <w:iCs w:val="0"/>
      <w:smallCaps w:val="0"/>
      <w:strike w:val="0"/>
      <w:color w:val="1f4d78"/>
      <w:sz w:val="22"/>
      <w:szCs w:val="22"/>
      <w:u w:val="none"/>
      <w:shd w:fill="auto" w:val="clear"/>
      <w:vertAlign w:val="baseline"/>
    </w:rPr>
  </w:style>
  <w:style w:type="paragraph" w:styleId="Title">
    <w:name w:val="Title"/>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Calibri" w:cs="Calibri" w:eastAsia="Calibri" w:hAnsi="Calibri"/>
      <w:b w:val="0"/>
      <w:bCs w:val="0"/>
      <w:i w:val="0"/>
      <w:iCs w:val="0"/>
      <w:smallCaps w:val="0"/>
      <w:strike w:val="0"/>
      <w:color w:val="000000"/>
      <w:sz w:val="56"/>
      <w:szCs w:val="56"/>
      <w:u w:val="none"/>
      <w:shd w:fill="auto" w:val="clear"/>
      <w:vertAlign w:val="baselin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0.0" w:type="dxa"/>
        <w:bottom w:w="0.0" w:type="dxa"/>
        <w:right w:w="10.0" w:type="dxa"/>
      </w:tblCellMar>
    </w:tblPr>
  </w:style>
  <w:style w:type="table" w:styleId="Table2">
    <w:basedOn w:val="TableNormal"/>
    <w:tblPr>
      <w:tblStyleRowBandSize w:val="1"/>
      <w:tblStyleColBandSize w:val="1"/>
      <w:tblCellMar>
        <w:top w:w="0.0" w:type="dxa"/>
        <w:left w:w="10.0" w:type="dxa"/>
        <w:bottom w:w="0.0" w:type="dxa"/>
        <w:right w:w="10.0" w:type="dxa"/>
      </w:tblCellMar>
    </w:tblPr>
  </w:style>
  <w:style w:type="table" w:styleId="Table3">
    <w:basedOn w:val="TableNormal"/>
    <w:tblPr>
      <w:tblStyleRowBandSize w:val="1"/>
      <w:tblStyleColBandSize w:val="1"/>
      <w:tblCellMar>
        <w:top w:w="0.0" w:type="dxa"/>
        <w:left w:w="10.0" w:type="dxa"/>
        <w:bottom w:w="0.0" w:type="dxa"/>
        <w:right w:w="1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